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1402" w14:textId="77777777" w:rsidR="001A0CC4" w:rsidRPr="00490CC9" w:rsidRDefault="00E81EFA" w:rsidP="00C71F03">
      <w:pPr>
        <w:ind w:right="72"/>
        <w:jc w:val="center"/>
        <w:rPr>
          <w:b/>
          <w:sz w:val="28"/>
          <w:szCs w:val="28"/>
          <w:lang w:val="fr-FR"/>
        </w:rPr>
      </w:pPr>
      <w:r>
        <w:rPr>
          <w:noProof/>
        </w:rPr>
        <w:drawing>
          <wp:anchor distT="0" distB="0" distL="114300" distR="114300" simplePos="0" relativeHeight="251659264" behindDoc="1" locked="0" layoutInCell="1" allowOverlap="1" wp14:anchorId="607EB99D" wp14:editId="78A3A2C2">
            <wp:simplePos x="0" y="0"/>
            <wp:positionH relativeFrom="column">
              <wp:posOffset>4275455</wp:posOffset>
            </wp:positionH>
            <wp:positionV relativeFrom="paragraph">
              <wp:posOffset>26035</wp:posOffset>
            </wp:positionV>
            <wp:extent cx="1771650" cy="844550"/>
            <wp:effectExtent l="0" t="0" r="0" b="0"/>
            <wp:wrapTight wrapText="bothSides">
              <wp:wrapPolygon edited="0">
                <wp:start x="0" y="0"/>
                <wp:lineTo x="0" y="20950"/>
                <wp:lineTo x="11381" y="20950"/>
                <wp:lineTo x="12542" y="20950"/>
                <wp:lineTo x="21368" y="20950"/>
                <wp:lineTo x="21368" y="6334"/>
                <wp:lineTo x="19045" y="974"/>
                <wp:lineTo x="18116"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8445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8A7EDCE" wp14:editId="1D5ABF18">
            <wp:simplePos x="0" y="0"/>
            <wp:positionH relativeFrom="column">
              <wp:posOffset>-315595</wp:posOffset>
            </wp:positionH>
            <wp:positionV relativeFrom="paragraph">
              <wp:posOffset>-93345</wp:posOffset>
            </wp:positionV>
            <wp:extent cx="1136650" cy="1210310"/>
            <wp:effectExtent l="0" t="0" r="6350" b="8890"/>
            <wp:wrapNone/>
            <wp:docPr id="3" name="Image 3"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1210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5390B" w14:textId="77777777" w:rsidR="001A0CC4" w:rsidRPr="00490CC9" w:rsidRDefault="00E81EFA" w:rsidP="00C71F03">
      <w:pPr>
        <w:tabs>
          <w:tab w:val="center" w:pos="3345"/>
        </w:tabs>
        <w:ind w:right="72"/>
        <w:jc w:val="center"/>
        <w:rPr>
          <w:b/>
          <w:sz w:val="28"/>
          <w:szCs w:val="28"/>
          <w:lang w:val="fr-FR"/>
        </w:rPr>
      </w:pPr>
      <w:r>
        <w:rPr>
          <w:b/>
          <w:sz w:val="28"/>
          <w:szCs w:val="28"/>
          <w:lang w:val="fr-FR"/>
        </w:rPr>
        <w:t xml:space="preserve">                                   </w:t>
      </w:r>
      <w:r w:rsidRPr="00490CC9">
        <w:rPr>
          <w:b/>
          <w:sz w:val="28"/>
          <w:szCs w:val="28"/>
          <w:lang w:val="fr-FR"/>
        </w:rPr>
        <w:t>République de Guinée</w:t>
      </w:r>
    </w:p>
    <w:p w14:paraId="131A03D6" w14:textId="77777777" w:rsidR="001A0CC4" w:rsidRPr="00490CC9" w:rsidRDefault="00E81EFA" w:rsidP="00C71F03">
      <w:pPr>
        <w:tabs>
          <w:tab w:val="left" w:pos="5190"/>
        </w:tabs>
        <w:jc w:val="center"/>
        <w:rPr>
          <w:b/>
          <w:bCs/>
          <w:sz w:val="20"/>
          <w:szCs w:val="20"/>
          <w:lang w:val="fr-FR"/>
        </w:rPr>
      </w:pPr>
      <w:r>
        <w:rPr>
          <w:b/>
          <w:bCs/>
          <w:color w:val="FF0000"/>
          <w:sz w:val="20"/>
          <w:szCs w:val="20"/>
          <w:lang w:val="fr-FR"/>
        </w:rPr>
        <w:t xml:space="preserve">                                                </w:t>
      </w:r>
      <w:r w:rsidRPr="00490CC9">
        <w:rPr>
          <w:b/>
          <w:bCs/>
          <w:color w:val="FF0000"/>
          <w:sz w:val="20"/>
          <w:szCs w:val="20"/>
          <w:lang w:val="fr-FR"/>
        </w:rPr>
        <w:t>Travail</w:t>
      </w:r>
      <w:r w:rsidRPr="00490CC9">
        <w:rPr>
          <w:b/>
          <w:bCs/>
          <w:sz w:val="20"/>
          <w:szCs w:val="20"/>
          <w:lang w:val="fr-FR"/>
        </w:rPr>
        <w:t xml:space="preserve"> – </w:t>
      </w:r>
      <w:r w:rsidRPr="00490CC9">
        <w:rPr>
          <w:b/>
          <w:bCs/>
          <w:color w:val="FFC000"/>
          <w:sz w:val="20"/>
          <w:szCs w:val="20"/>
          <w:lang w:val="fr-FR"/>
        </w:rPr>
        <w:t>Justice</w:t>
      </w:r>
      <w:r w:rsidRPr="00490CC9">
        <w:rPr>
          <w:b/>
          <w:bCs/>
          <w:sz w:val="20"/>
          <w:szCs w:val="20"/>
          <w:lang w:val="fr-FR"/>
        </w:rPr>
        <w:t xml:space="preserve"> - </w:t>
      </w:r>
      <w:r w:rsidRPr="00490CC9">
        <w:rPr>
          <w:b/>
          <w:bCs/>
          <w:color w:val="538135"/>
          <w:sz w:val="20"/>
          <w:szCs w:val="20"/>
          <w:lang w:val="fr-FR"/>
        </w:rPr>
        <w:t>Solidarité</w:t>
      </w:r>
    </w:p>
    <w:p w14:paraId="6811F2FE" w14:textId="77777777" w:rsidR="001A0CC4" w:rsidRPr="00490CC9" w:rsidRDefault="001A0CC4" w:rsidP="00C71F03">
      <w:pPr>
        <w:ind w:right="72"/>
        <w:jc w:val="center"/>
        <w:rPr>
          <w:b/>
          <w:sz w:val="28"/>
          <w:szCs w:val="28"/>
          <w:lang w:val="fr-FR"/>
        </w:rPr>
      </w:pPr>
    </w:p>
    <w:p w14:paraId="13A3FAB4" w14:textId="77777777" w:rsidR="001A0CC4" w:rsidRPr="00490CC9" w:rsidRDefault="001A0CC4" w:rsidP="00C71F03">
      <w:pPr>
        <w:ind w:right="72"/>
        <w:jc w:val="center"/>
        <w:rPr>
          <w:b/>
          <w:sz w:val="28"/>
          <w:szCs w:val="28"/>
          <w:lang w:val="fr-FR"/>
        </w:rPr>
      </w:pPr>
    </w:p>
    <w:p w14:paraId="14D58B9B" w14:textId="63E1E320" w:rsidR="001A0CC4" w:rsidRPr="00490CC9" w:rsidRDefault="00E81EFA" w:rsidP="00776A13">
      <w:pPr>
        <w:ind w:right="72"/>
        <w:jc w:val="center"/>
        <w:rPr>
          <w:b/>
          <w:sz w:val="28"/>
          <w:szCs w:val="28"/>
          <w:lang w:val="fr-FR"/>
        </w:rPr>
      </w:pPr>
      <w:r w:rsidRPr="00490CC9">
        <w:rPr>
          <w:b/>
          <w:sz w:val="28"/>
          <w:szCs w:val="28"/>
          <w:lang w:val="fr-FR"/>
        </w:rPr>
        <w:t>Ministère de l’Agriculture</w:t>
      </w:r>
    </w:p>
    <w:p w14:paraId="1CF9DEA0" w14:textId="5F135805" w:rsidR="001A0CC4" w:rsidRDefault="001A0CC4" w:rsidP="00C71F03">
      <w:pPr>
        <w:ind w:right="72"/>
        <w:jc w:val="center"/>
        <w:rPr>
          <w:b/>
          <w:sz w:val="28"/>
          <w:szCs w:val="28"/>
          <w:lang w:val="fr-FR"/>
        </w:rPr>
      </w:pPr>
    </w:p>
    <w:p w14:paraId="04249D93" w14:textId="1E1745F9" w:rsidR="00F43A4F" w:rsidRPr="00F43A4F" w:rsidRDefault="00F43A4F" w:rsidP="00C71F03">
      <w:pPr>
        <w:ind w:right="72"/>
        <w:jc w:val="center"/>
        <w:rPr>
          <w:b/>
          <w:sz w:val="28"/>
          <w:szCs w:val="28"/>
          <w:u w:val="single"/>
          <w:lang w:val="fr-FR"/>
        </w:rPr>
      </w:pPr>
      <w:r w:rsidRPr="00D72D0C">
        <w:rPr>
          <w:b/>
          <w:sz w:val="28"/>
          <w:szCs w:val="28"/>
          <w:u w:val="single"/>
          <w:lang w:val="fr-FR"/>
        </w:rPr>
        <w:t>PUBLICATION</w:t>
      </w:r>
    </w:p>
    <w:p w14:paraId="7980DF25" w14:textId="77777777" w:rsidR="00F43A4F" w:rsidRPr="00490CC9" w:rsidRDefault="00F43A4F" w:rsidP="00C71F03">
      <w:pPr>
        <w:ind w:right="72"/>
        <w:jc w:val="center"/>
        <w:rPr>
          <w:b/>
          <w:sz w:val="28"/>
          <w:szCs w:val="28"/>
          <w:lang w:val="fr-FR"/>
        </w:rPr>
      </w:pPr>
    </w:p>
    <w:p w14:paraId="38DE662F" w14:textId="7A6DAA4B" w:rsidR="001A0CC4" w:rsidRDefault="00E81EFA" w:rsidP="00C71F03">
      <w:pPr>
        <w:tabs>
          <w:tab w:val="left" w:pos="0"/>
        </w:tabs>
        <w:jc w:val="center"/>
        <w:rPr>
          <w:b/>
          <w:lang w:val="fr-FR"/>
        </w:rPr>
      </w:pPr>
      <w:r>
        <w:rPr>
          <w:b/>
          <w:lang w:val="fr-FR"/>
        </w:rPr>
        <w:t>AVIS</w:t>
      </w:r>
      <w:r w:rsidRPr="00827A76">
        <w:rPr>
          <w:b/>
          <w:lang w:val="fr-FR"/>
        </w:rPr>
        <w:t xml:space="preserve"> À MANIFESTATION D’INTÉRÊT</w:t>
      </w:r>
      <w:r>
        <w:rPr>
          <w:b/>
          <w:lang w:val="fr-FR"/>
        </w:rPr>
        <w:t xml:space="preserve"> </w:t>
      </w:r>
      <w:r w:rsidR="00C92E31">
        <w:rPr>
          <w:b/>
          <w:lang w:val="fr-FR"/>
        </w:rPr>
        <w:t>N°0</w:t>
      </w:r>
      <w:r w:rsidR="00776A13">
        <w:rPr>
          <w:b/>
          <w:lang w:val="fr-FR"/>
        </w:rPr>
        <w:t>3</w:t>
      </w:r>
      <w:r w:rsidR="00C92E31">
        <w:rPr>
          <w:b/>
          <w:lang w:val="fr-FR"/>
        </w:rPr>
        <w:t>/MA/</w:t>
      </w:r>
      <w:r w:rsidR="00776A13">
        <w:rPr>
          <w:b/>
          <w:lang w:val="fr-FR"/>
        </w:rPr>
        <w:t>PDRI-GKM</w:t>
      </w:r>
      <w:r w:rsidR="00C92E31">
        <w:rPr>
          <w:b/>
          <w:lang w:val="fr-FR"/>
        </w:rPr>
        <w:t>/</w:t>
      </w:r>
      <w:r w:rsidR="008D4EE7">
        <w:rPr>
          <w:b/>
          <w:lang w:val="fr-FR"/>
        </w:rPr>
        <w:t>01</w:t>
      </w:r>
      <w:r w:rsidR="00C92E31">
        <w:rPr>
          <w:b/>
          <w:lang w:val="fr-FR"/>
        </w:rPr>
        <w:t>/202</w:t>
      </w:r>
      <w:r w:rsidR="008D4EE7">
        <w:rPr>
          <w:b/>
          <w:lang w:val="fr-FR"/>
        </w:rPr>
        <w:t>6</w:t>
      </w:r>
    </w:p>
    <w:p w14:paraId="4702EC8B" w14:textId="3C298B83" w:rsidR="001A0CC4" w:rsidRDefault="00E81EFA" w:rsidP="00C71F03">
      <w:pPr>
        <w:tabs>
          <w:tab w:val="left" w:pos="0"/>
        </w:tabs>
        <w:jc w:val="center"/>
        <w:rPr>
          <w:b/>
          <w:lang w:val="fr-FR"/>
        </w:rPr>
      </w:pPr>
      <w:r>
        <w:rPr>
          <w:b/>
          <w:lang w:val="fr-FR"/>
        </w:rPr>
        <w:t>(Réservé aux Firmes Nationales)</w:t>
      </w:r>
    </w:p>
    <w:p w14:paraId="4D0635FB" w14:textId="77777777" w:rsidR="0075307C" w:rsidRDefault="0075307C" w:rsidP="00C71F03">
      <w:pPr>
        <w:pStyle w:val="ChapterNumber"/>
        <w:tabs>
          <w:tab w:val="clear" w:pos="-720"/>
        </w:tabs>
        <w:rPr>
          <w:rFonts w:ascii="Times New Roman" w:hAnsi="Times New Roman"/>
          <w:b/>
          <w:bCs/>
          <w:spacing w:val="-2"/>
          <w:sz w:val="24"/>
          <w:szCs w:val="24"/>
          <w:u w:val="single"/>
          <w:lang w:val="fr-FR"/>
        </w:rPr>
      </w:pPr>
    </w:p>
    <w:p w14:paraId="75B0DFE4" w14:textId="2954DDBC" w:rsidR="001A0CC4" w:rsidRPr="00490CC9" w:rsidRDefault="00E81EFA" w:rsidP="00C71F03">
      <w:pPr>
        <w:tabs>
          <w:tab w:val="left" w:pos="4008"/>
        </w:tabs>
        <w:jc w:val="both"/>
        <w:rPr>
          <w:b/>
          <w:lang w:val="fr-FR"/>
        </w:rPr>
      </w:pPr>
      <w:r w:rsidRPr="00490CC9">
        <w:rPr>
          <w:b/>
          <w:lang w:val="fr-FR"/>
        </w:rPr>
        <w:t xml:space="preserve">Pays                  </w:t>
      </w:r>
      <w:r w:rsidR="00804A28" w:rsidRPr="00490CC9">
        <w:rPr>
          <w:b/>
          <w:lang w:val="fr-FR"/>
        </w:rPr>
        <w:t xml:space="preserve">  :</w:t>
      </w:r>
      <w:r w:rsidRPr="00490CC9">
        <w:rPr>
          <w:b/>
          <w:lang w:val="fr-FR"/>
        </w:rPr>
        <w:t xml:space="preserve"> République de Guinée</w:t>
      </w:r>
    </w:p>
    <w:p w14:paraId="1D8A28F0" w14:textId="3B63720A" w:rsidR="001A0CC4" w:rsidRPr="00490CC9" w:rsidRDefault="00E81EFA" w:rsidP="00C71F03">
      <w:pPr>
        <w:tabs>
          <w:tab w:val="left" w:pos="4008"/>
        </w:tabs>
        <w:jc w:val="both"/>
        <w:rPr>
          <w:b/>
          <w:lang w:val="fr-FR"/>
        </w:rPr>
      </w:pPr>
      <w:r w:rsidRPr="00490CC9">
        <w:rPr>
          <w:b/>
          <w:lang w:val="fr-FR"/>
        </w:rPr>
        <w:t xml:space="preserve">Nom projet         : Projet de Développement </w:t>
      </w:r>
      <w:r w:rsidR="00776A13">
        <w:rPr>
          <w:b/>
          <w:lang w:val="fr-FR"/>
        </w:rPr>
        <w:t>Rurale Intégré Gaoual-Koundara-Mali</w:t>
      </w:r>
    </w:p>
    <w:p w14:paraId="58514372" w14:textId="77777777" w:rsidR="001A0CC4" w:rsidRPr="00490CC9" w:rsidRDefault="00E81EFA" w:rsidP="00C71F03">
      <w:pPr>
        <w:tabs>
          <w:tab w:val="left" w:pos="4008"/>
        </w:tabs>
        <w:jc w:val="both"/>
        <w:rPr>
          <w:b/>
          <w:lang w:val="fr-FR"/>
        </w:rPr>
      </w:pPr>
      <w:r w:rsidRPr="00490CC9">
        <w:rPr>
          <w:b/>
          <w:lang w:val="fr-FR"/>
        </w:rPr>
        <w:t xml:space="preserve">Secteur                : Agriculture </w:t>
      </w:r>
    </w:p>
    <w:p w14:paraId="40955876" w14:textId="400442E3" w:rsidR="001A0CC4" w:rsidRPr="00490CC9" w:rsidRDefault="00E81EFA" w:rsidP="00C71F03">
      <w:pPr>
        <w:tabs>
          <w:tab w:val="left" w:pos="4008"/>
        </w:tabs>
        <w:jc w:val="both"/>
        <w:rPr>
          <w:b/>
          <w:lang w:val="fr-FR"/>
        </w:rPr>
      </w:pPr>
      <w:r w:rsidRPr="00490CC9">
        <w:rPr>
          <w:b/>
          <w:lang w:val="fr-FR"/>
        </w:rPr>
        <w:t xml:space="preserve">Financement       : </w:t>
      </w:r>
      <w:r w:rsidR="00C81D93" w:rsidRPr="00C81D93">
        <w:rPr>
          <w:b/>
          <w:lang w:val="fr-FR"/>
        </w:rPr>
        <w:t>Prêt – Vente à tempérament</w:t>
      </w:r>
      <w:r w:rsidRPr="00490CC9">
        <w:rPr>
          <w:b/>
          <w:lang w:val="fr-FR"/>
        </w:rPr>
        <w:t xml:space="preserve"> BID </w:t>
      </w:r>
    </w:p>
    <w:p w14:paraId="3C6F7DDC" w14:textId="1E26B5BF" w:rsidR="001A0CC4" w:rsidRPr="00827A76" w:rsidRDefault="00E81EFA" w:rsidP="00C71F03">
      <w:pPr>
        <w:pStyle w:val="Corpsdetexte"/>
        <w:spacing w:after="0"/>
        <w:jc w:val="left"/>
        <w:rPr>
          <w:lang w:val="fr-FR"/>
        </w:rPr>
      </w:pPr>
      <w:r w:rsidRPr="00490CC9">
        <w:rPr>
          <w:b/>
          <w:lang w:val="fr-FR"/>
        </w:rPr>
        <w:t xml:space="preserve">Prêt                      : N° </w:t>
      </w:r>
      <w:r w:rsidRPr="00490CC9">
        <w:rPr>
          <w:b/>
          <w:color w:val="1D2228"/>
          <w:shd w:val="clear" w:color="auto" w:fill="FFFFFF"/>
          <w:lang w:val="fr-FR"/>
        </w:rPr>
        <w:t>GIN 10</w:t>
      </w:r>
      <w:r w:rsidR="00776A13">
        <w:rPr>
          <w:b/>
          <w:color w:val="1D2228"/>
          <w:shd w:val="clear" w:color="auto" w:fill="FFFFFF"/>
          <w:lang w:val="fr-FR"/>
        </w:rPr>
        <w:t>04</w:t>
      </w:r>
    </w:p>
    <w:p w14:paraId="1C3C3658" w14:textId="77777777" w:rsidR="001A0CC4" w:rsidRPr="00983B2D" w:rsidRDefault="001A0CC4" w:rsidP="00C71F03">
      <w:pPr>
        <w:rPr>
          <w:spacing w:val="-2"/>
          <w:sz w:val="20"/>
          <w:szCs w:val="20"/>
          <w:lang w:val="fr-FR"/>
        </w:rPr>
      </w:pPr>
    </w:p>
    <w:p w14:paraId="430E876C" w14:textId="71B5B855" w:rsidR="00B30F80" w:rsidRPr="00B30F80" w:rsidRDefault="00B30F80" w:rsidP="00B46B52">
      <w:pPr>
        <w:tabs>
          <w:tab w:val="left" w:pos="284"/>
        </w:tabs>
        <w:suppressAutoHyphens/>
        <w:spacing w:after="120"/>
        <w:jc w:val="both"/>
        <w:rPr>
          <w:spacing w:val="-2"/>
          <w:lang w:val="fr-FR"/>
        </w:rPr>
      </w:pPr>
      <w:r w:rsidRPr="00D56200">
        <w:rPr>
          <w:spacing w:val="-2"/>
          <w:lang w:val="fr-FR"/>
        </w:rPr>
        <w:t xml:space="preserve">Le Gouvernement de la République de Guinée a obtenu un financement de la Banque Islamique de Développement (BID) pour la mise en œuvre du Projet de Développement Rural Intégré des Préfectures de Gaoual – Koundara – Mali (PDRI-GKM). Il est prévu qu’une partie des ressources accordées soit utilisée pour le financement des services de consultants relatifs au </w:t>
      </w:r>
      <w:r w:rsidR="00F31883">
        <w:rPr>
          <w:spacing w:val="-2"/>
          <w:lang w:val="fr-FR"/>
        </w:rPr>
        <w:t>« </w:t>
      </w:r>
      <w:r w:rsidRPr="00D56200">
        <w:rPr>
          <w:b/>
          <w:bCs/>
          <w:spacing w:val="-2"/>
          <w:lang w:val="fr-FR"/>
        </w:rPr>
        <w:t>recrutement d’une firme chargée de l’audit des comptes du PDRI-GKM</w:t>
      </w:r>
      <w:r w:rsidRPr="00D56200">
        <w:rPr>
          <w:spacing w:val="-2"/>
          <w:lang w:val="fr-FR"/>
        </w:rPr>
        <w:t>.</w:t>
      </w:r>
      <w:r w:rsidR="00F31883">
        <w:rPr>
          <w:spacing w:val="-2"/>
          <w:lang w:val="fr-FR"/>
        </w:rPr>
        <w:t> »</w:t>
      </w:r>
    </w:p>
    <w:p w14:paraId="1F6E1F17" w14:textId="77777777" w:rsidR="00B30F80" w:rsidRPr="00D56200" w:rsidRDefault="00B30F80" w:rsidP="00B30F80">
      <w:pPr>
        <w:tabs>
          <w:tab w:val="left" w:pos="284"/>
        </w:tabs>
        <w:suppressAutoHyphens/>
        <w:spacing w:after="120"/>
        <w:rPr>
          <w:b/>
          <w:bCs/>
          <w:spacing w:val="-2"/>
          <w:lang w:val="fr-FR"/>
        </w:rPr>
      </w:pPr>
      <w:r w:rsidRPr="00D56200">
        <w:rPr>
          <w:b/>
          <w:bCs/>
          <w:spacing w:val="-2"/>
          <w:lang w:val="fr-FR"/>
        </w:rPr>
        <w:t>Objectif de la mission</w:t>
      </w:r>
    </w:p>
    <w:p w14:paraId="5EAB7B90"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L’objectif principal de la mission d’audit est de permettre à l’auditeur indépendant d’exprimer une opinion professionnelle sur :</w:t>
      </w:r>
    </w:p>
    <w:p w14:paraId="73B024B7"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i) la sincérité et la fidélité des États Financiers du Projet (EFP), reflétant la situation financière du Projet à la clôture de chaque exercice, ainsi que les fonds reçus et les dépenses engagées au cours de la période concernée ;</w:t>
      </w:r>
    </w:p>
    <w:p w14:paraId="477D85C7"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ii) l’éligibilité au financement de la Banque Islamique de Développement des dépenses du Projet remboursées sur la base des états de dépenses, ainsi que leur correcte prise en compte dans les États Financiers du Projet.</w:t>
      </w:r>
    </w:p>
    <w:p w14:paraId="35820287"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À cet effet, l’auditeur devra procéder à tous les examens jugés nécessaires des états financiers, des pièces comptables, des systèmes d’enregistrement et des dispositifs de contrôle interne. Il devra également formuler une opinion sur la conformité de l’application des Directives de Passation des Marchés de la BID, en adéquation avec les dispositions de l’Accord de Financement du Projet.</w:t>
      </w:r>
    </w:p>
    <w:p w14:paraId="57A7C9B6"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Les Termes de Référence (TDR) détaillés de la mission peuvent être consultés à l’adresse indiquée ci-après.</w:t>
      </w:r>
    </w:p>
    <w:p w14:paraId="5AF22EB2"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Invitation à manifester son intérêt</w:t>
      </w:r>
    </w:p>
    <w:p w14:paraId="17F64BDE"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L’Unité de Gestion du Projet de Développement Rural Intégré des Préfectures de Gaoual – Koundara – Mali (PDRI-GKM) invite les bureaux de consultants nationaux éligibles à manifester leur intérêt pour la fourniture des services décrits ci-dessus.</w:t>
      </w:r>
    </w:p>
    <w:p w14:paraId="5EC93806"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Les consultants intéressés sont tenus de fournir des informations démontrant clairement leur capacité et leur qualification à exécuter la mission, notamment : documents juridiques, références de missions similaires, expérience dans des contextes comparables, et disponibilité de ressources humaines qualifiées.</w:t>
      </w:r>
    </w:p>
    <w:p w14:paraId="687716BE"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Critères d’établissement de la liste restreinte</w:t>
      </w:r>
    </w:p>
    <w:p w14:paraId="3BB06BB0" w14:textId="77777777" w:rsidR="00B30F80" w:rsidRPr="00D56200" w:rsidRDefault="00B30F80" w:rsidP="00B30F80">
      <w:pPr>
        <w:tabs>
          <w:tab w:val="left" w:pos="284"/>
        </w:tabs>
        <w:suppressAutoHyphens/>
        <w:spacing w:after="120"/>
        <w:rPr>
          <w:spacing w:val="-2"/>
          <w:lang w:val="fr-FR"/>
        </w:rPr>
      </w:pPr>
      <w:r w:rsidRPr="00D56200">
        <w:rPr>
          <w:spacing w:val="-2"/>
          <w:lang w:val="fr-FR"/>
        </w:rPr>
        <w:lastRenderedPageBreak/>
        <w:t>Les consultants seront présélectionnés sur la base des critères suivants :</w:t>
      </w:r>
    </w:p>
    <w:p w14:paraId="7A2011A8" w14:textId="77777777" w:rsidR="00B30F80" w:rsidRPr="00D56200" w:rsidRDefault="00B30F80" w:rsidP="00B46B52">
      <w:pPr>
        <w:numPr>
          <w:ilvl w:val="0"/>
          <w:numId w:val="4"/>
        </w:numPr>
        <w:tabs>
          <w:tab w:val="left" w:pos="284"/>
        </w:tabs>
        <w:suppressAutoHyphens/>
        <w:spacing w:after="120"/>
        <w:jc w:val="both"/>
        <w:rPr>
          <w:spacing w:val="-2"/>
          <w:lang w:val="fr-FR"/>
        </w:rPr>
      </w:pPr>
      <w:r w:rsidRPr="00D56200">
        <w:rPr>
          <w:spacing w:val="-2"/>
          <w:lang w:val="fr-FR"/>
        </w:rPr>
        <w:t>être un cabinet ou bureau d’audit et d’expertise comptable indépendant, exerçant régulièrement des activités de révision des comptes ;</w:t>
      </w:r>
    </w:p>
    <w:p w14:paraId="3B524840" w14:textId="77777777" w:rsidR="00B30F80" w:rsidRPr="00D56200" w:rsidRDefault="00B30F80" w:rsidP="00B46B52">
      <w:pPr>
        <w:numPr>
          <w:ilvl w:val="0"/>
          <w:numId w:val="4"/>
        </w:numPr>
        <w:tabs>
          <w:tab w:val="left" w:pos="284"/>
        </w:tabs>
        <w:suppressAutoHyphens/>
        <w:spacing w:after="120"/>
        <w:jc w:val="both"/>
        <w:rPr>
          <w:spacing w:val="-2"/>
          <w:lang w:val="fr-FR"/>
        </w:rPr>
      </w:pPr>
      <w:r w:rsidRPr="00D56200">
        <w:rPr>
          <w:spacing w:val="-2"/>
          <w:lang w:val="fr-FR"/>
        </w:rPr>
        <w:t>être dûment inscrit à l’Ordre National des Experts-Comptables ou reconnu au niveau international par l’IFAC ou l’INTOSAI ;</w:t>
      </w:r>
    </w:p>
    <w:p w14:paraId="5EAAA095" w14:textId="77777777" w:rsidR="00B30F80" w:rsidRPr="00D56200" w:rsidRDefault="00B30F80" w:rsidP="00B46B52">
      <w:pPr>
        <w:numPr>
          <w:ilvl w:val="0"/>
          <w:numId w:val="4"/>
        </w:numPr>
        <w:tabs>
          <w:tab w:val="left" w:pos="284"/>
        </w:tabs>
        <w:suppressAutoHyphens/>
        <w:spacing w:after="120"/>
        <w:jc w:val="both"/>
        <w:rPr>
          <w:spacing w:val="-2"/>
          <w:lang w:val="fr-FR"/>
        </w:rPr>
      </w:pPr>
      <w:r w:rsidRPr="00D56200">
        <w:rPr>
          <w:spacing w:val="-2"/>
          <w:lang w:val="fr-FR"/>
        </w:rPr>
        <w:t>justifier d’une expérience minimale de dix (10) ans en audit financier de projets de développement ;</w:t>
      </w:r>
    </w:p>
    <w:p w14:paraId="52DF4C18" w14:textId="77777777" w:rsidR="00B30F80" w:rsidRPr="00D56200" w:rsidRDefault="00B30F80" w:rsidP="00B46B52">
      <w:pPr>
        <w:numPr>
          <w:ilvl w:val="0"/>
          <w:numId w:val="4"/>
        </w:numPr>
        <w:tabs>
          <w:tab w:val="left" w:pos="284"/>
        </w:tabs>
        <w:suppressAutoHyphens/>
        <w:spacing w:after="120"/>
        <w:jc w:val="both"/>
        <w:rPr>
          <w:spacing w:val="-2"/>
          <w:lang w:val="fr-FR"/>
        </w:rPr>
      </w:pPr>
      <w:r w:rsidRPr="00D56200">
        <w:rPr>
          <w:spacing w:val="-2"/>
          <w:lang w:val="fr-FR"/>
        </w:rPr>
        <w:t>avoir réalisé au moins dix (10) missions d’audit financier de projets financés par des partenaires techniques et financiers, dont cinq (5) projets financés par la BID ;</w:t>
      </w:r>
    </w:p>
    <w:p w14:paraId="5B7717FF" w14:textId="77777777" w:rsidR="00B30F80" w:rsidRPr="00D56200" w:rsidRDefault="00B30F80" w:rsidP="00B46B52">
      <w:pPr>
        <w:numPr>
          <w:ilvl w:val="0"/>
          <w:numId w:val="4"/>
        </w:numPr>
        <w:tabs>
          <w:tab w:val="left" w:pos="284"/>
        </w:tabs>
        <w:suppressAutoHyphens/>
        <w:spacing w:after="120"/>
        <w:jc w:val="both"/>
        <w:rPr>
          <w:spacing w:val="-2"/>
          <w:lang w:val="fr-FR"/>
        </w:rPr>
      </w:pPr>
      <w:r w:rsidRPr="00D56200">
        <w:rPr>
          <w:spacing w:val="-2"/>
          <w:lang w:val="fr-FR"/>
        </w:rPr>
        <w:t>disposer d’une équipe d’audit qualifiée, dotée d’une expérience avérée et de références pertinentes en audit de projets.</w:t>
      </w:r>
    </w:p>
    <w:p w14:paraId="02E08554"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L’auditeur devra impérativement respecter les exigences de la BID en matière de rapports financiers et se conformer à ses Directives de Passation des Marchés.</w:t>
      </w:r>
    </w:p>
    <w:p w14:paraId="7A67AC5F"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Dispositions complémentaires</w:t>
      </w:r>
    </w:p>
    <w:p w14:paraId="764CB5F1"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Les consultants intéressés sont invités à prendre connaissance des Clauses 1.23 et 1.24 des Directives relatives à la sélection des consultants financés par la BID, portant sur les règles applicables en matière de conflits d’intérêts.</w:t>
      </w:r>
    </w:p>
    <w:p w14:paraId="77ECD203"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Les consultants peuvent s’associer avec d’autres firmes afin de renforcer leurs qualifications, en précisant clairement la nature de l’association (groupement ou sous-traitance). En cas de groupement, les membres seront conjointement et solidairement responsables de l’exécution du contrat en cas d’attribution.</w:t>
      </w:r>
    </w:p>
    <w:p w14:paraId="5341B9D8"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La sélection sera effectuée conformément à la méthode de Sélection au Moindre Coût (SMC), telle que définie dans les Directives de la Banque Islamique de Développement.</w:t>
      </w:r>
    </w:p>
    <w:p w14:paraId="1B837DF2" w14:textId="77777777" w:rsidR="00B30F80" w:rsidRPr="00D56200" w:rsidRDefault="00B30F80" w:rsidP="00B46B52">
      <w:pPr>
        <w:tabs>
          <w:tab w:val="left" w:pos="284"/>
        </w:tabs>
        <w:suppressAutoHyphens/>
        <w:spacing w:after="120"/>
        <w:jc w:val="both"/>
        <w:rPr>
          <w:spacing w:val="-2"/>
          <w:lang w:val="fr-FR"/>
        </w:rPr>
      </w:pPr>
      <w:r w:rsidRPr="00D56200">
        <w:rPr>
          <w:spacing w:val="-2"/>
          <w:lang w:val="fr-FR"/>
        </w:rPr>
        <w:t>Des informations complémentaires peuvent être obtenues à l’adresse ci-dessous, les jours ouvrables, du lundi au vendredi de 09h30 à 17h30 (heure locale).</w:t>
      </w:r>
    </w:p>
    <w:p w14:paraId="1E8364AA" w14:textId="77777777" w:rsidR="00B30F80" w:rsidRPr="00D56200" w:rsidRDefault="00B30F80" w:rsidP="00B30F80">
      <w:pPr>
        <w:tabs>
          <w:tab w:val="left" w:pos="284"/>
        </w:tabs>
        <w:suppressAutoHyphens/>
        <w:spacing w:after="120"/>
        <w:rPr>
          <w:spacing w:val="-2"/>
          <w:lang w:val="fr-FR"/>
        </w:rPr>
      </w:pPr>
      <w:r w:rsidRPr="00D56200">
        <w:rPr>
          <w:spacing w:val="-2"/>
          <w:lang w:val="fr-FR"/>
        </w:rPr>
        <w:t>Modalités de dépôt des manifestations d’intérêt</w:t>
      </w:r>
    </w:p>
    <w:p w14:paraId="31B986A1" w14:textId="77777777" w:rsidR="00B30F80" w:rsidRPr="00D56200" w:rsidRDefault="00B30F80" w:rsidP="00B30F80">
      <w:pPr>
        <w:tabs>
          <w:tab w:val="left" w:pos="284"/>
        </w:tabs>
        <w:suppressAutoHyphens/>
        <w:spacing w:after="120"/>
        <w:rPr>
          <w:spacing w:val="-2"/>
          <w:lang w:val="fr-FR"/>
        </w:rPr>
      </w:pPr>
      <w:r w:rsidRPr="00D56200">
        <w:rPr>
          <w:spacing w:val="-2"/>
          <w:lang w:val="fr-FR"/>
        </w:rPr>
        <w:t>Les manifestations d’intérêt, rédigées en langue française, doivent être déposées en personne ou par courrier à l’adresse ci-après au plus tard le 02 février 2026 à 10 heures GMT :</w:t>
      </w:r>
    </w:p>
    <w:p w14:paraId="356EA329" w14:textId="07625E09" w:rsidR="00B30F80" w:rsidRPr="00D56200" w:rsidRDefault="00B30F80" w:rsidP="00B30F80">
      <w:pPr>
        <w:tabs>
          <w:tab w:val="left" w:pos="284"/>
        </w:tabs>
        <w:suppressAutoHyphens/>
        <w:spacing w:after="120"/>
        <w:rPr>
          <w:spacing w:val="-2"/>
          <w:lang w:val="fr-FR"/>
        </w:rPr>
      </w:pPr>
      <w:r w:rsidRPr="00D56200">
        <w:rPr>
          <w:spacing w:val="-2"/>
          <w:lang w:val="fr-FR"/>
        </w:rPr>
        <w:t>Unité de Gestion du Projet de Développement Rural Intégré</w:t>
      </w:r>
      <w:r w:rsidRPr="00D56200">
        <w:rPr>
          <w:spacing w:val="-2"/>
          <w:lang w:val="fr-FR"/>
        </w:rPr>
        <w:br/>
        <w:t>Gaoual – Koundara – Mali (PDRI-GKM)</w:t>
      </w:r>
      <w:r w:rsidRPr="00D56200">
        <w:rPr>
          <w:spacing w:val="-2"/>
          <w:lang w:val="fr-FR"/>
        </w:rPr>
        <w:br/>
        <w:t>À l’attention de : Monsieur Naby Moussa OULARE,</w:t>
      </w:r>
      <w:r w:rsidRPr="00D56200">
        <w:rPr>
          <w:spacing w:val="-2"/>
          <w:lang w:val="fr-FR"/>
        </w:rPr>
        <w:br/>
        <w:t>Coordonnateur National du PDRI-GKM</w:t>
      </w:r>
      <w:r w:rsidRPr="00D56200">
        <w:rPr>
          <w:spacing w:val="-2"/>
          <w:lang w:val="fr-FR"/>
        </w:rPr>
        <w:br/>
        <w:t>Siège : Coléah Lansébounyi, Commune de Matam,</w:t>
      </w:r>
      <w:r w:rsidRPr="00D56200">
        <w:rPr>
          <w:spacing w:val="-2"/>
          <w:lang w:val="fr-FR"/>
        </w:rPr>
        <w:br/>
        <w:t>derrière l’ex-Libraport, Conakry – République de Guinée</w:t>
      </w:r>
      <w:r w:rsidRPr="00D56200">
        <w:rPr>
          <w:spacing w:val="-2"/>
          <w:lang w:val="fr-FR"/>
        </w:rPr>
        <w:br/>
        <w:t>Tél. : (+224) 621 75 75 55</w:t>
      </w:r>
      <w:r w:rsidRPr="00D56200">
        <w:rPr>
          <w:spacing w:val="-2"/>
          <w:lang w:val="fr-FR"/>
        </w:rPr>
        <w:br/>
        <w:t xml:space="preserve">E-mail : </w:t>
      </w:r>
      <w:r w:rsidR="007C3AC3">
        <w:rPr>
          <w:spacing w:val="-2"/>
          <w:lang w:val="fr-FR"/>
        </w:rPr>
        <w:t>p</w:t>
      </w:r>
      <w:r w:rsidR="00A57B1A">
        <w:rPr>
          <w:spacing w:val="-2"/>
          <w:lang w:val="fr-FR"/>
        </w:rPr>
        <w:t>drigkm@gmail.com</w:t>
      </w:r>
    </w:p>
    <w:p w14:paraId="129EBEF1" w14:textId="77777777" w:rsidR="00B30F80" w:rsidRPr="00B30F80" w:rsidRDefault="00B30F80" w:rsidP="00B30F80">
      <w:pPr>
        <w:tabs>
          <w:tab w:val="left" w:pos="284"/>
        </w:tabs>
        <w:suppressAutoHyphens/>
        <w:spacing w:after="120"/>
        <w:rPr>
          <w:spacing w:val="-2"/>
          <w:lang w:val="fr-FR"/>
        </w:rPr>
      </w:pPr>
    </w:p>
    <w:p w14:paraId="03EE2CF6" w14:textId="77777777" w:rsidR="004D0F09" w:rsidRPr="00241382" w:rsidRDefault="004D0F09" w:rsidP="004D0F09">
      <w:pPr>
        <w:spacing w:after="200"/>
        <w:ind w:left="360" w:right="184"/>
        <w:jc w:val="right"/>
        <w:rPr>
          <w:iCs/>
          <w:lang w:val="fr-FR" w:eastAsia="fr-FR"/>
        </w:rPr>
      </w:pPr>
      <w:r w:rsidRPr="00241382">
        <w:rPr>
          <w:iCs/>
          <w:lang w:val="fr-FR" w:eastAsia="fr-FR"/>
        </w:rPr>
        <w:t>Conakry le 1</w:t>
      </w:r>
      <w:r>
        <w:rPr>
          <w:iCs/>
          <w:lang w:val="fr-FR" w:eastAsia="fr-FR"/>
        </w:rPr>
        <w:t>9</w:t>
      </w:r>
      <w:r w:rsidRPr="00241382">
        <w:rPr>
          <w:iCs/>
          <w:lang w:val="fr-FR" w:eastAsia="fr-FR"/>
        </w:rPr>
        <w:t xml:space="preserve"> </w:t>
      </w:r>
      <w:r>
        <w:rPr>
          <w:iCs/>
          <w:lang w:val="fr-FR" w:eastAsia="fr-FR"/>
        </w:rPr>
        <w:t>janvier</w:t>
      </w:r>
      <w:r w:rsidRPr="00241382">
        <w:rPr>
          <w:iCs/>
          <w:lang w:val="fr-FR" w:eastAsia="fr-FR"/>
        </w:rPr>
        <w:t xml:space="preserve"> 202</w:t>
      </w:r>
      <w:r>
        <w:rPr>
          <w:iCs/>
          <w:lang w:val="fr-FR" w:eastAsia="fr-FR"/>
        </w:rPr>
        <w:t>6</w:t>
      </w:r>
    </w:p>
    <w:p w14:paraId="633F79E2" w14:textId="77777777" w:rsidR="004D0F09" w:rsidRPr="00B32EF0" w:rsidRDefault="004D0F09" w:rsidP="004D0F09">
      <w:pPr>
        <w:tabs>
          <w:tab w:val="left" w:pos="284"/>
          <w:tab w:val="right" w:pos="7790"/>
        </w:tabs>
        <w:suppressAutoHyphens/>
        <w:spacing w:after="120"/>
        <w:jc w:val="center"/>
        <w:rPr>
          <w:rFonts w:ascii="Century Gothic" w:hAnsi="Century Gothic"/>
          <w:b/>
          <w:sz w:val="22"/>
          <w:szCs w:val="22"/>
          <w:lang w:val="fr-FR" w:eastAsia="ar-SA"/>
        </w:rPr>
      </w:pPr>
    </w:p>
    <w:p w14:paraId="1533CCDD" w14:textId="77777777" w:rsidR="004D0F09" w:rsidRPr="00B32EF0" w:rsidRDefault="004D0F09" w:rsidP="004D0F09">
      <w:pPr>
        <w:tabs>
          <w:tab w:val="left" w:pos="284"/>
          <w:tab w:val="right" w:pos="7790"/>
        </w:tabs>
        <w:suppressAutoHyphens/>
        <w:spacing w:after="120"/>
        <w:jc w:val="center"/>
        <w:rPr>
          <w:b/>
          <w:bCs/>
          <w:spacing w:val="-2"/>
          <w:lang w:val="fr-FR"/>
        </w:rPr>
      </w:pPr>
      <w:r w:rsidRPr="00B32EF0">
        <w:rPr>
          <w:rFonts w:ascii="Century Gothic" w:hAnsi="Century Gothic"/>
          <w:b/>
          <w:sz w:val="22"/>
          <w:szCs w:val="22"/>
          <w:lang w:val="fr-FR" w:eastAsia="ar-SA"/>
        </w:rPr>
        <w:t xml:space="preserve">                                                                                                    </w:t>
      </w:r>
      <w:r w:rsidRPr="00B32EF0">
        <w:rPr>
          <w:b/>
          <w:bCs/>
          <w:spacing w:val="-2"/>
          <w:lang w:val="fr-FR"/>
        </w:rPr>
        <w:t xml:space="preserve">Le Coordonnateur National </w:t>
      </w:r>
    </w:p>
    <w:p w14:paraId="7F46F420" w14:textId="77777777" w:rsidR="004D0F09" w:rsidRPr="00B32EF0" w:rsidRDefault="004D0F09" w:rsidP="004D0F09">
      <w:pPr>
        <w:tabs>
          <w:tab w:val="left" w:pos="284"/>
          <w:tab w:val="right" w:pos="7790"/>
        </w:tabs>
        <w:suppressAutoHyphens/>
        <w:spacing w:after="120"/>
        <w:jc w:val="right"/>
        <w:rPr>
          <w:b/>
          <w:bCs/>
          <w:spacing w:val="-2"/>
          <w:lang w:val="fr-FR"/>
        </w:rPr>
      </w:pPr>
    </w:p>
    <w:p w14:paraId="60107884" w14:textId="77777777" w:rsidR="004D0F09" w:rsidRDefault="004D0F09" w:rsidP="004D0F09">
      <w:pPr>
        <w:tabs>
          <w:tab w:val="left" w:pos="284"/>
          <w:tab w:val="right" w:pos="7790"/>
        </w:tabs>
        <w:suppressAutoHyphens/>
        <w:spacing w:after="120"/>
        <w:jc w:val="right"/>
        <w:rPr>
          <w:b/>
          <w:bCs/>
          <w:spacing w:val="-2"/>
          <w:lang w:val="fr-FR"/>
        </w:rPr>
      </w:pPr>
    </w:p>
    <w:p w14:paraId="7062B983" w14:textId="77777777" w:rsidR="004D0F09" w:rsidRPr="00B32EF0" w:rsidRDefault="004D0F09" w:rsidP="004D0F09">
      <w:pPr>
        <w:tabs>
          <w:tab w:val="left" w:pos="284"/>
          <w:tab w:val="right" w:pos="7790"/>
        </w:tabs>
        <w:suppressAutoHyphens/>
        <w:spacing w:after="120"/>
        <w:rPr>
          <w:b/>
          <w:bCs/>
          <w:spacing w:val="-2"/>
          <w:lang w:val="fr-FR"/>
        </w:rPr>
      </w:pPr>
    </w:p>
    <w:p w14:paraId="1673CC4E" w14:textId="77777777" w:rsidR="004D0F09" w:rsidRDefault="004D0F09" w:rsidP="004D0F09">
      <w:pPr>
        <w:tabs>
          <w:tab w:val="left" w:pos="284"/>
        </w:tabs>
        <w:suppressAutoHyphens/>
        <w:spacing w:after="120"/>
        <w:jc w:val="both"/>
        <w:rPr>
          <w:b/>
          <w:bCs/>
          <w:spacing w:val="-2"/>
          <w:lang w:val="fr-FR"/>
        </w:rPr>
      </w:pPr>
      <w:r w:rsidRPr="00B32EF0">
        <w:rPr>
          <w:b/>
          <w:bCs/>
          <w:spacing w:val="-2"/>
          <w:lang w:val="fr-FR"/>
        </w:rPr>
        <w:t xml:space="preserve">                                                                                                       </w:t>
      </w:r>
      <w:r w:rsidRPr="001E412A">
        <w:rPr>
          <w:b/>
          <w:bCs/>
          <w:spacing w:val="-2"/>
          <w:lang w:val="fr-FR"/>
        </w:rPr>
        <w:t xml:space="preserve">  </w:t>
      </w:r>
      <w:r>
        <w:rPr>
          <w:b/>
          <w:bCs/>
          <w:spacing w:val="-2"/>
          <w:lang w:val="fr-FR"/>
        </w:rPr>
        <w:t xml:space="preserve">     </w:t>
      </w:r>
      <w:r w:rsidRPr="00B32EF0">
        <w:rPr>
          <w:b/>
          <w:bCs/>
          <w:spacing w:val="-2"/>
          <w:lang w:val="fr-FR"/>
        </w:rPr>
        <w:t>Naby Moussa OULARE</w:t>
      </w:r>
    </w:p>
    <w:sectPr w:rsidR="004D0F09" w:rsidSect="004D75C7">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A494" w14:textId="77777777" w:rsidR="0018403C" w:rsidRDefault="0018403C" w:rsidP="00B30F80">
      <w:r>
        <w:separator/>
      </w:r>
    </w:p>
  </w:endnote>
  <w:endnote w:type="continuationSeparator" w:id="0">
    <w:p w14:paraId="1D3506F4" w14:textId="77777777" w:rsidR="0018403C" w:rsidRDefault="0018403C" w:rsidP="00B3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BD27" w14:textId="77777777" w:rsidR="0018403C" w:rsidRDefault="0018403C" w:rsidP="00B30F80">
      <w:r>
        <w:separator/>
      </w:r>
    </w:p>
  </w:footnote>
  <w:footnote w:type="continuationSeparator" w:id="0">
    <w:p w14:paraId="4CDCF12A" w14:textId="77777777" w:rsidR="0018403C" w:rsidRDefault="0018403C" w:rsidP="00B3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DD9"/>
    <w:multiLevelType w:val="hybridMultilevel"/>
    <w:tmpl w:val="928812F4"/>
    <w:lvl w:ilvl="0" w:tplc="6486C45A">
      <w:numFmt w:val="bullet"/>
      <w:lvlText w:val=""/>
      <w:lvlJc w:val="left"/>
      <w:pPr>
        <w:ind w:left="720" w:hanging="360"/>
      </w:pPr>
      <w:rPr>
        <w:rFonts w:ascii="Symbol" w:hAnsi="Symbol"/>
      </w:rPr>
    </w:lvl>
    <w:lvl w:ilvl="1" w:tplc="671AB990">
      <w:numFmt w:val="bullet"/>
      <w:lvlText w:val="o"/>
      <w:lvlJc w:val="left"/>
      <w:pPr>
        <w:ind w:left="1440" w:hanging="1080"/>
      </w:pPr>
      <w:rPr>
        <w:rFonts w:ascii="Courier New" w:hAnsi="Courier New"/>
      </w:rPr>
    </w:lvl>
    <w:lvl w:ilvl="2" w:tplc="649C17CE">
      <w:numFmt w:val="bullet"/>
      <w:lvlText w:val=""/>
      <w:lvlJc w:val="left"/>
      <w:pPr>
        <w:ind w:left="2160" w:hanging="1800"/>
      </w:pPr>
    </w:lvl>
    <w:lvl w:ilvl="3" w:tplc="8F32F5B6">
      <w:numFmt w:val="bullet"/>
      <w:lvlText w:val=""/>
      <w:lvlJc w:val="left"/>
      <w:pPr>
        <w:ind w:left="2880" w:hanging="2520"/>
      </w:pPr>
      <w:rPr>
        <w:rFonts w:ascii="Symbol" w:hAnsi="Symbol"/>
      </w:rPr>
    </w:lvl>
    <w:lvl w:ilvl="4" w:tplc="F1807A00">
      <w:numFmt w:val="bullet"/>
      <w:lvlText w:val="o"/>
      <w:lvlJc w:val="left"/>
      <w:pPr>
        <w:ind w:left="3600" w:hanging="3240"/>
      </w:pPr>
      <w:rPr>
        <w:rFonts w:ascii="Courier New" w:hAnsi="Courier New"/>
      </w:rPr>
    </w:lvl>
    <w:lvl w:ilvl="5" w:tplc="D16A9096">
      <w:numFmt w:val="bullet"/>
      <w:lvlText w:val=""/>
      <w:lvlJc w:val="left"/>
      <w:pPr>
        <w:ind w:left="4320" w:hanging="3960"/>
      </w:pPr>
    </w:lvl>
    <w:lvl w:ilvl="6" w:tplc="60366F66">
      <w:numFmt w:val="bullet"/>
      <w:lvlText w:val=""/>
      <w:lvlJc w:val="left"/>
      <w:pPr>
        <w:ind w:left="5040" w:hanging="4680"/>
      </w:pPr>
      <w:rPr>
        <w:rFonts w:ascii="Symbol" w:hAnsi="Symbol"/>
      </w:rPr>
    </w:lvl>
    <w:lvl w:ilvl="7" w:tplc="1966B61A">
      <w:numFmt w:val="bullet"/>
      <w:lvlText w:val="o"/>
      <w:lvlJc w:val="left"/>
      <w:pPr>
        <w:ind w:left="5760" w:hanging="5400"/>
      </w:pPr>
      <w:rPr>
        <w:rFonts w:ascii="Courier New" w:hAnsi="Courier New"/>
      </w:rPr>
    </w:lvl>
    <w:lvl w:ilvl="8" w:tplc="AC74708C">
      <w:numFmt w:val="bullet"/>
      <w:lvlText w:val=""/>
      <w:lvlJc w:val="left"/>
      <w:pPr>
        <w:ind w:left="6480" w:hanging="6120"/>
      </w:pPr>
    </w:lvl>
  </w:abstractNum>
  <w:abstractNum w:abstractNumId="1" w15:restartNumberingAfterBreak="0">
    <w:nsid w:val="0871790F"/>
    <w:multiLevelType w:val="multilevel"/>
    <w:tmpl w:val="05E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85505"/>
    <w:multiLevelType w:val="hybridMultilevel"/>
    <w:tmpl w:val="CFAED184"/>
    <w:lvl w:ilvl="0" w:tplc="57BEB0C2">
      <w:start w:val="1"/>
      <w:numFmt w:val="decimal"/>
      <w:lvlText w:val="%1."/>
      <w:lvlJc w:val="left"/>
      <w:pPr>
        <w:ind w:left="720" w:hanging="360"/>
      </w:pPr>
    </w:lvl>
    <w:lvl w:ilvl="1" w:tplc="9906E480">
      <w:start w:val="1"/>
      <w:numFmt w:val="decimal"/>
      <w:lvlText w:val="%2."/>
      <w:lvlJc w:val="left"/>
      <w:pPr>
        <w:ind w:left="1440" w:hanging="1080"/>
      </w:pPr>
    </w:lvl>
    <w:lvl w:ilvl="2" w:tplc="C290A4FE">
      <w:start w:val="1"/>
      <w:numFmt w:val="decimal"/>
      <w:lvlText w:val="%3."/>
      <w:lvlJc w:val="left"/>
      <w:pPr>
        <w:ind w:left="2160" w:hanging="1980"/>
      </w:pPr>
    </w:lvl>
    <w:lvl w:ilvl="3" w:tplc="544A269E">
      <w:start w:val="1"/>
      <w:numFmt w:val="decimal"/>
      <w:lvlText w:val="%4."/>
      <w:lvlJc w:val="left"/>
      <w:pPr>
        <w:ind w:left="2880" w:hanging="2520"/>
      </w:pPr>
    </w:lvl>
    <w:lvl w:ilvl="4" w:tplc="BD5ACBEA">
      <w:start w:val="1"/>
      <w:numFmt w:val="decimal"/>
      <w:lvlText w:val="%5."/>
      <w:lvlJc w:val="left"/>
      <w:pPr>
        <w:ind w:left="3600" w:hanging="3240"/>
      </w:pPr>
    </w:lvl>
    <w:lvl w:ilvl="5" w:tplc="5CDCB8E6">
      <w:start w:val="1"/>
      <w:numFmt w:val="decimal"/>
      <w:lvlText w:val="%6."/>
      <w:lvlJc w:val="left"/>
      <w:pPr>
        <w:ind w:left="4320" w:hanging="4140"/>
      </w:pPr>
    </w:lvl>
    <w:lvl w:ilvl="6" w:tplc="FFB8041C">
      <w:start w:val="1"/>
      <w:numFmt w:val="decimal"/>
      <w:lvlText w:val="%7."/>
      <w:lvlJc w:val="left"/>
      <w:pPr>
        <w:ind w:left="5040" w:hanging="4680"/>
      </w:pPr>
    </w:lvl>
    <w:lvl w:ilvl="7" w:tplc="E5045D0C">
      <w:start w:val="1"/>
      <w:numFmt w:val="decimal"/>
      <w:lvlText w:val="%8."/>
      <w:lvlJc w:val="left"/>
      <w:pPr>
        <w:ind w:left="5760" w:hanging="5400"/>
      </w:pPr>
    </w:lvl>
    <w:lvl w:ilvl="8" w:tplc="FCD06CF2">
      <w:start w:val="1"/>
      <w:numFmt w:val="decimal"/>
      <w:lvlText w:val="%9."/>
      <w:lvlJc w:val="left"/>
      <w:pPr>
        <w:ind w:left="6480" w:hanging="6300"/>
      </w:pPr>
    </w:lvl>
  </w:abstractNum>
  <w:abstractNum w:abstractNumId="3" w15:restartNumberingAfterBreak="0">
    <w:nsid w:val="558F08F6"/>
    <w:multiLevelType w:val="hybridMultilevel"/>
    <w:tmpl w:val="6C9AC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5086106">
    <w:abstractNumId w:val="3"/>
  </w:num>
  <w:num w:numId="2" w16cid:durableId="439253794">
    <w:abstractNumId w:val="0"/>
  </w:num>
  <w:num w:numId="3" w16cid:durableId="718939076">
    <w:abstractNumId w:val="2"/>
  </w:num>
  <w:num w:numId="4" w16cid:durableId="134278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0C"/>
    <w:rsid w:val="0018403C"/>
    <w:rsid w:val="001A0CC4"/>
    <w:rsid w:val="001E412A"/>
    <w:rsid w:val="00213860"/>
    <w:rsid w:val="00241382"/>
    <w:rsid w:val="0031552F"/>
    <w:rsid w:val="0037430C"/>
    <w:rsid w:val="003D3A03"/>
    <w:rsid w:val="004D0F09"/>
    <w:rsid w:val="00506DA9"/>
    <w:rsid w:val="005F416D"/>
    <w:rsid w:val="0063399A"/>
    <w:rsid w:val="00702D48"/>
    <w:rsid w:val="0075307C"/>
    <w:rsid w:val="00776A13"/>
    <w:rsid w:val="007B0A21"/>
    <w:rsid w:val="007C3AC3"/>
    <w:rsid w:val="007D13A6"/>
    <w:rsid w:val="007E6329"/>
    <w:rsid w:val="00804A28"/>
    <w:rsid w:val="008D4EE7"/>
    <w:rsid w:val="008E1EBB"/>
    <w:rsid w:val="00A10ECC"/>
    <w:rsid w:val="00A57B1A"/>
    <w:rsid w:val="00A764B2"/>
    <w:rsid w:val="00B30F80"/>
    <w:rsid w:val="00B3210C"/>
    <w:rsid w:val="00B32EF0"/>
    <w:rsid w:val="00B46B52"/>
    <w:rsid w:val="00B666CD"/>
    <w:rsid w:val="00BA05A9"/>
    <w:rsid w:val="00BB3104"/>
    <w:rsid w:val="00C81D93"/>
    <w:rsid w:val="00C92E31"/>
    <w:rsid w:val="00CA2698"/>
    <w:rsid w:val="00D12878"/>
    <w:rsid w:val="00D25CB2"/>
    <w:rsid w:val="00D56200"/>
    <w:rsid w:val="00D72D0C"/>
    <w:rsid w:val="00DB563C"/>
    <w:rsid w:val="00DC2630"/>
    <w:rsid w:val="00DD6646"/>
    <w:rsid w:val="00E12E7B"/>
    <w:rsid w:val="00E81EFA"/>
    <w:rsid w:val="00ED7B94"/>
    <w:rsid w:val="00F31883"/>
    <w:rsid w:val="00F43A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746C"/>
  <w15:chartTrackingRefBased/>
  <w15:docId w15:val="{CB3F0DB0-7FA7-4E2F-B710-484B8C46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03"/>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71F03"/>
    <w:pPr>
      <w:tabs>
        <w:tab w:val="left" w:pos="284"/>
      </w:tabs>
      <w:suppressAutoHyphens/>
      <w:spacing w:after="120"/>
      <w:jc w:val="both"/>
    </w:pPr>
    <w:rPr>
      <w:lang w:val="en-GB" w:eastAsia="ar-SA"/>
    </w:rPr>
  </w:style>
  <w:style w:type="character" w:customStyle="1" w:styleId="CorpsdetexteCar">
    <w:name w:val="Corps de texte Car"/>
    <w:basedOn w:val="Policepardfaut"/>
    <w:link w:val="Corpsdetexte"/>
    <w:rsid w:val="00C71F03"/>
    <w:rPr>
      <w:rFonts w:ascii="Times New Roman" w:eastAsia="Times New Roman" w:hAnsi="Times New Roman" w:cs="Times New Roman"/>
      <w:sz w:val="24"/>
      <w:szCs w:val="24"/>
      <w:lang w:val="en-GB" w:eastAsia="ar-SA"/>
    </w:rPr>
  </w:style>
  <w:style w:type="paragraph" w:customStyle="1" w:styleId="ChapterNumber">
    <w:name w:val="ChapterNumber"/>
    <w:rsid w:val="00C71F03"/>
    <w:pPr>
      <w:tabs>
        <w:tab w:val="left" w:pos="-720"/>
      </w:tabs>
      <w:suppressAutoHyphens/>
      <w:spacing w:after="0" w:line="240" w:lineRule="auto"/>
    </w:pPr>
    <w:rPr>
      <w:rFonts w:ascii="CG Times" w:eastAsia="Arial" w:hAnsi="CG Times" w:cs="Times New Roman"/>
      <w:szCs w:val="20"/>
      <w:lang w:val="en-US" w:eastAsia="ar-SA"/>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semiHidden/>
    <w:locked/>
    <w:rsid w:val="00C71F03"/>
    <w:rPr>
      <w:lang w:val="es-ES_tradnl"/>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semiHidden/>
    <w:unhideWhenUsed/>
    <w:qFormat/>
    <w:rsid w:val="00C71F03"/>
    <w:pPr>
      <w:jc w:val="both"/>
    </w:pPr>
    <w:rPr>
      <w:rFonts w:ascii="Calibri" w:eastAsiaTheme="minorHAnsi" w:hAnsiTheme="minorHAnsi" w:cstheme="minorBidi"/>
      <w:sz w:val="22"/>
      <w:szCs w:val="22"/>
      <w:lang w:val="es-ES_tradnl"/>
    </w:rPr>
  </w:style>
  <w:style w:type="character" w:customStyle="1" w:styleId="NotedebasdepageCar1">
    <w:name w:val="Note de bas de page Car1"/>
    <w:basedOn w:val="Policepardfaut"/>
    <w:uiPriority w:val="99"/>
    <w:semiHidden/>
    <w:rsid w:val="00C71F03"/>
    <w:rPr>
      <w:rFonts w:ascii="Times New Roman" w:eastAsia="Times New Roman" w:hAnsi="Times New Roman" w:cs="Times New Roman"/>
      <w:sz w:val="20"/>
      <w:szCs w:val="20"/>
      <w:lang w:val="en-US"/>
    </w:rPr>
  </w:style>
  <w:style w:type="paragraph" w:styleId="Paragraphedeliste">
    <w:name w:val="List Paragraph"/>
    <w:basedOn w:val="Normal"/>
    <w:uiPriority w:val="34"/>
    <w:qFormat/>
    <w:rsid w:val="009B279D"/>
    <w:pPr>
      <w:spacing w:after="200" w:line="276" w:lineRule="auto"/>
      <w:ind w:left="720"/>
      <w:contextualSpacing/>
    </w:pPr>
    <w:rPr>
      <w:rFonts w:ascii="Calibri" w:eastAsiaTheme="minorEastAsia" w:hAnsiTheme="minorHAnsi" w:cstheme="minorBidi"/>
      <w:sz w:val="22"/>
      <w:szCs w:val="22"/>
      <w:lang w:val="fr-FR" w:eastAsia="fr-FR"/>
    </w:rPr>
  </w:style>
  <w:style w:type="paragraph" w:styleId="Titre">
    <w:name w:val="Title"/>
    <w:basedOn w:val="Normal"/>
    <w:pPr>
      <w:spacing w:after="300"/>
    </w:pPr>
    <w:rPr>
      <w:color w:val="17365D"/>
      <w:sz w:val="52"/>
    </w:rPr>
  </w:style>
  <w:style w:type="paragraph" w:styleId="Sous-titre">
    <w:name w:val="Subtitle"/>
    <w:basedOn w:val="Normal"/>
    <w:rPr>
      <w:i/>
      <w:color w:val="4F81BD"/>
    </w:rPr>
  </w:style>
  <w:style w:type="paragraph" w:styleId="En-tte">
    <w:name w:val="header"/>
    <w:basedOn w:val="Normal"/>
    <w:link w:val="En-tteCar"/>
    <w:uiPriority w:val="99"/>
    <w:unhideWhenUsed/>
    <w:rsid w:val="00B30F80"/>
    <w:pPr>
      <w:tabs>
        <w:tab w:val="center" w:pos="4536"/>
        <w:tab w:val="right" w:pos="9072"/>
      </w:tabs>
    </w:pPr>
  </w:style>
  <w:style w:type="character" w:customStyle="1" w:styleId="En-tteCar">
    <w:name w:val="En-tête Car"/>
    <w:basedOn w:val="Policepardfaut"/>
    <w:link w:val="En-tte"/>
    <w:uiPriority w:val="99"/>
    <w:rsid w:val="00B30F80"/>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B30F80"/>
    <w:pPr>
      <w:tabs>
        <w:tab w:val="center" w:pos="4536"/>
        <w:tab w:val="right" w:pos="9072"/>
      </w:tabs>
    </w:pPr>
  </w:style>
  <w:style w:type="character" w:customStyle="1" w:styleId="PieddepageCar">
    <w:name w:val="Pied de page Car"/>
    <w:basedOn w:val="Policepardfaut"/>
    <w:link w:val="Pieddepage"/>
    <w:uiPriority w:val="99"/>
    <w:rsid w:val="00B30F80"/>
    <w:rPr>
      <w:rFonts w:ascii="Times New Roman" w:eastAsia="Times New Roman" w:hAnsi="Times New Roman" w:cs="Times New Roman"/>
      <w:sz w:val="24"/>
      <w:szCs w:val="24"/>
      <w:lang w:val="en-US"/>
    </w:rPr>
  </w:style>
  <w:style w:type="paragraph" w:styleId="Rvision">
    <w:name w:val="Revision"/>
    <w:hidden/>
    <w:uiPriority w:val="99"/>
    <w:semiHidden/>
    <w:rsid w:val="00D5620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796</Words>
  <Characters>4540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PPAAO-GUINEE</dc:creator>
  <cp:keywords/>
  <dc:description/>
  <cp:lastModifiedBy>Fatoumata SAMPOU</cp:lastModifiedBy>
  <cp:revision>6</cp:revision>
  <dcterms:created xsi:type="dcterms:W3CDTF">2026-01-14T16:51:00Z</dcterms:created>
  <dcterms:modified xsi:type="dcterms:W3CDTF">2026-01-15T14:36:00Z</dcterms:modified>
</cp:coreProperties>
</file>