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90DA" w14:textId="77777777" w:rsidR="00424BFF" w:rsidRDefault="00424BFF" w:rsidP="00601843">
      <w:pPr>
        <w:pStyle w:val="Sections"/>
        <w:rPr>
          <w:rFonts w:ascii="Century Gothic" w:hAnsi="Century Gothic"/>
          <w:sz w:val="24"/>
        </w:rPr>
      </w:pPr>
    </w:p>
    <w:p w14:paraId="534E6169" w14:textId="77777777" w:rsidR="00424BFF" w:rsidRDefault="00424BFF" w:rsidP="00601843">
      <w:pPr>
        <w:pStyle w:val="Sections"/>
        <w:rPr>
          <w:rFonts w:ascii="Century Gothic" w:hAnsi="Century Gothic"/>
          <w:sz w:val="24"/>
        </w:rPr>
      </w:pPr>
    </w:p>
    <w:p w14:paraId="56D16B1E" w14:textId="77777777" w:rsidR="00424BFF" w:rsidRDefault="00424BFF" w:rsidP="00601843">
      <w:pPr>
        <w:pStyle w:val="Sections"/>
        <w:rPr>
          <w:rFonts w:ascii="Century Gothic" w:hAnsi="Century Gothic"/>
          <w:sz w:val="24"/>
        </w:rPr>
      </w:pPr>
    </w:p>
    <w:p w14:paraId="1E347355" w14:textId="77777777" w:rsidR="00424BFF" w:rsidRDefault="00424BFF" w:rsidP="00601843">
      <w:pPr>
        <w:pStyle w:val="Sections"/>
        <w:rPr>
          <w:rFonts w:ascii="Century Gothic" w:hAnsi="Century Gothic"/>
          <w:sz w:val="24"/>
        </w:rPr>
      </w:pPr>
    </w:p>
    <w:p w14:paraId="16C12082" w14:textId="3B0732CB" w:rsidR="00601843" w:rsidRPr="00F93E28" w:rsidRDefault="00601843" w:rsidP="00601843">
      <w:pPr>
        <w:pStyle w:val="Sections"/>
        <w:rPr>
          <w:rFonts w:ascii="Century Gothic" w:hAnsi="Century Gothic"/>
          <w:sz w:val="24"/>
        </w:rPr>
      </w:pPr>
      <w:r w:rsidRPr="00F93E28">
        <w:rPr>
          <w:rFonts w:ascii="Century Gothic" w:hAnsi="Century Gothic"/>
          <w:sz w:val="24"/>
        </w:rPr>
        <w:t>Section 0. Avis d’Appel d’offres national (AAO</w:t>
      </w:r>
      <w:r>
        <w:rPr>
          <w:rFonts w:ascii="Century Gothic" w:hAnsi="Century Gothic"/>
          <w:sz w:val="24"/>
        </w:rPr>
        <w:t>N</w:t>
      </w:r>
      <w:r w:rsidRPr="00F93E28">
        <w:rPr>
          <w:rFonts w:ascii="Century Gothic" w:hAnsi="Century Gothic"/>
          <w:sz w:val="24"/>
        </w:rPr>
        <w:t>)</w:t>
      </w:r>
    </w:p>
    <w:p w14:paraId="0A08D839" w14:textId="77777777" w:rsidR="00601843" w:rsidRDefault="00601843" w:rsidP="00601843">
      <w:pPr>
        <w:jc w:val="center"/>
        <w:rPr>
          <w:rFonts w:ascii="Century Gothic" w:hAnsi="Century Gothic"/>
          <w:b/>
        </w:rPr>
      </w:pPr>
      <w:r w:rsidRPr="00F93E28">
        <w:rPr>
          <w:rFonts w:ascii="Century Gothic" w:hAnsi="Century Gothic"/>
          <w:b/>
        </w:rPr>
        <w:t>Avis d’Appel d’Offres</w:t>
      </w:r>
      <w:r w:rsidRPr="007358D6">
        <w:rPr>
          <w:rFonts w:ascii="Century Gothic" w:hAnsi="Century Gothic"/>
          <w:b/>
          <w:strike/>
          <w:color w:val="FF0000"/>
        </w:rPr>
        <w:t xml:space="preserve"> </w:t>
      </w:r>
      <w:r w:rsidRPr="007358D6">
        <w:rPr>
          <w:rFonts w:ascii="Century Gothic" w:hAnsi="Century Gothic"/>
          <w:b/>
        </w:rPr>
        <w:t>National</w:t>
      </w:r>
      <w:r w:rsidRPr="007358D6">
        <w:rPr>
          <w:rFonts w:ascii="Century Gothic" w:hAnsi="Century Gothic"/>
          <w:b/>
          <w:color w:val="FF0000"/>
        </w:rPr>
        <w:t xml:space="preserve"> </w:t>
      </w:r>
      <w:r w:rsidRPr="00F93E28">
        <w:rPr>
          <w:rFonts w:ascii="Century Gothic" w:hAnsi="Century Gothic"/>
          <w:b/>
        </w:rPr>
        <w:t>– Cas sans pré qualification</w:t>
      </w:r>
    </w:p>
    <w:p w14:paraId="105BB0A4" w14:textId="77777777" w:rsidR="00601843" w:rsidRPr="00F93E28" w:rsidRDefault="00601843" w:rsidP="00601843">
      <w:pPr>
        <w:jc w:val="center"/>
        <w:rPr>
          <w:rFonts w:ascii="Century Gothic" w:hAnsi="Century Gothic"/>
          <w:b/>
          <w:sz w:val="16"/>
        </w:rPr>
      </w:pPr>
    </w:p>
    <w:p w14:paraId="28944451" w14:textId="77777777" w:rsidR="00601843" w:rsidRPr="00F93E28" w:rsidRDefault="00601843" w:rsidP="00601843">
      <w:pPr>
        <w:jc w:val="center"/>
        <w:rPr>
          <w:rFonts w:ascii="Century Gothic" w:hAnsi="Century Gothic"/>
          <w:b/>
        </w:rPr>
      </w:pPr>
      <w:r w:rsidRPr="00F93E28">
        <w:rPr>
          <w:rFonts w:ascii="Century Gothic" w:hAnsi="Century Gothic"/>
          <w:b/>
        </w:rPr>
        <w:t>N°04/MAE/DNA/PRMP/202</w:t>
      </w:r>
      <w:r>
        <w:rPr>
          <w:rFonts w:ascii="Century Gothic" w:hAnsi="Century Gothic"/>
          <w:b/>
        </w:rPr>
        <w:t>5</w:t>
      </w:r>
    </w:p>
    <w:p w14:paraId="5B0DAEDE" w14:textId="77777777" w:rsidR="00601843" w:rsidRPr="00F93E28" w:rsidRDefault="00601843" w:rsidP="00601843">
      <w:pPr>
        <w:rPr>
          <w:rFonts w:ascii="Century Gothic" w:hAnsi="Century Gothic"/>
          <w:sz w:val="22"/>
        </w:rPr>
      </w:pPr>
    </w:p>
    <w:p w14:paraId="36FA5384" w14:textId="77777777" w:rsidR="00601843" w:rsidRPr="00F93E28" w:rsidRDefault="00601843" w:rsidP="00601843">
      <w:pPr>
        <w:spacing w:after="120"/>
        <w:jc w:val="both"/>
        <w:rPr>
          <w:rFonts w:ascii="Century Gothic" w:hAnsi="Century Gothic"/>
          <w:sz w:val="22"/>
        </w:rPr>
      </w:pPr>
      <w:r w:rsidRPr="00F93E28">
        <w:rPr>
          <w:rFonts w:ascii="Century Gothic" w:hAnsi="Century Gothic"/>
          <w:sz w:val="22"/>
        </w:rPr>
        <w:t>Le Ministère de l’Agriculture et de l’Elevage a obtenu dans le cadre de l’exécution de son budget exercice 2024-2025 des fonds et à l’intention d’utiliser une partie de ces fonds pour effectuer des paiements au titre du Marché de fourniture et livraison sur sites de semences maraichère</w:t>
      </w:r>
      <w:r>
        <w:rPr>
          <w:rFonts w:ascii="Century Gothic" w:hAnsi="Century Gothic"/>
          <w:sz w:val="22"/>
        </w:rPr>
        <w:t xml:space="preserve"> en un lot.</w:t>
      </w:r>
    </w:p>
    <w:p w14:paraId="3C62B2C4" w14:textId="77777777" w:rsidR="00601843" w:rsidRDefault="00601843" w:rsidP="00601843">
      <w:pPr>
        <w:jc w:val="both"/>
        <w:rPr>
          <w:b/>
          <w:bCs/>
        </w:rPr>
      </w:pPr>
      <w:r>
        <w:rPr>
          <w:bCs/>
        </w:rPr>
        <w:t>S</w:t>
      </w:r>
      <w:r w:rsidRPr="0036058E">
        <w:rPr>
          <w:bCs/>
        </w:rPr>
        <w:t xml:space="preserve">emences </w:t>
      </w:r>
      <w:r>
        <w:rPr>
          <w:bCs/>
        </w:rPr>
        <w:t xml:space="preserve">de coton </w:t>
      </w:r>
    </w:p>
    <w:p w14:paraId="3170CB71" w14:textId="77777777" w:rsidR="00601843" w:rsidRPr="00F93E28" w:rsidRDefault="00601843" w:rsidP="00601843">
      <w:pPr>
        <w:spacing w:after="120"/>
        <w:jc w:val="both"/>
        <w:rPr>
          <w:rFonts w:ascii="Century Gothic" w:hAnsi="Century Gothic"/>
          <w:sz w:val="22"/>
        </w:rPr>
      </w:pPr>
    </w:p>
    <w:tbl>
      <w:tblPr>
        <w:tblW w:w="9629"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0"/>
        <w:gridCol w:w="1565"/>
        <w:gridCol w:w="1276"/>
        <w:gridCol w:w="1559"/>
        <w:gridCol w:w="2268"/>
        <w:gridCol w:w="2551"/>
      </w:tblGrid>
      <w:tr w:rsidR="00601843" w:rsidRPr="00F93E28" w14:paraId="2A796B88" w14:textId="77777777" w:rsidTr="00F66E7B">
        <w:trPr>
          <w:trHeight w:val="473"/>
        </w:trPr>
        <w:tc>
          <w:tcPr>
            <w:tcW w:w="410" w:type="dxa"/>
            <w:shd w:val="clear" w:color="000000" w:fill="FFD966"/>
            <w:noWrap/>
            <w:vAlign w:val="center"/>
            <w:hideMark/>
          </w:tcPr>
          <w:p w14:paraId="4F397768" w14:textId="77777777" w:rsidR="00601843" w:rsidRPr="00F93E28" w:rsidRDefault="00601843" w:rsidP="00F66E7B">
            <w:pPr>
              <w:jc w:val="center"/>
              <w:rPr>
                <w:rFonts w:ascii="Century Gothic" w:hAnsi="Century Gothic"/>
                <w:sz w:val="22"/>
              </w:rPr>
            </w:pPr>
            <w:r w:rsidRPr="00F93E28">
              <w:rPr>
                <w:rFonts w:ascii="Century Gothic" w:hAnsi="Century Gothic"/>
                <w:sz w:val="22"/>
              </w:rPr>
              <w:t>N°</w:t>
            </w:r>
          </w:p>
        </w:tc>
        <w:tc>
          <w:tcPr>
            <w:tcW w:w="1565" w:type="dxa"/>
            <w:shd w:val="clear" w:color="000000" w:fill="FFD966"/>
            <w:noWrap/>
            <w:vAlign w:val="center"/>
            <w:hideMark/>
          </w:tcPr>
          <w:p w14:paraId="6AA6A3F3" w14:textId="77777777" w:rsidR="00601843" w:rsidRPr="00F93E28" w:rsidRDefault="00601843" w:rsidP="00F66E7B">
            <w:pPr>
              <w:rPr>
                <w:rFonts w:ascii="Century Gothic" w:hAnsi="Century Gothic"/>
                <w:sz w:val="22"/>
              </w:rPr>
            </w:pPr>
            <w:r w:rsidRPr="00F93E28">
              <w:rPr>
                <w:rFonts w:ascii="Century Gothic" w:hAnsi="Century Gothic"/>
                <w:sz w:val="22"/>
              </w:rPr>
              <w:t>Spéculation</w:t>
            </w:r>
          </w:p>
        </w:tc>
        <w:tc>
          <w:tcPr>
            <w:tcW w:w="1276" w:type="dxa"/>
            <w:shd w:val="clear" w:color="000000" w:fill="FFD966"/>
            <w:vAlign w:val="center"/>
            <w:hideMark/>
          </w:tcPr>
          <w:p w14:paraId="15EC92F2" w14:textId="77777777" w:rsidR="00601843" w:rsidRPr="00F93E28" w:rsidRDefault="00601843" w:rsidP="00F66E7B">
            <w:pPr>
              <w:jc w:val="center"/>
              <w:rPr>
                <w:rFonts w:ascii="Century Gothic" w:hAnsi="Century Gothic"/>
                <w:sz w:val="22"/>
              </w:rPr>
            </w:pPr>
            <w:r w:rsidRPr="00F93E28">
              <w:rPr>
                <w:rFonts w:ascii="Century Gothic" w:hAnsi="Century Gothic"/>
                <w:sz w:val="22"/>
              </w:rPr>
              <w:t xml:space="preserve">Quantité </w:t>
            </w:r>
            <w:r w:rsidRPr="00F93E28">
              <w:rPr>
                <w:rFonts w:ascii="Century Gothic" w:hAnsi="Century Gothic"/>
                <w:sz w:val="22"/>
              </w:rPr>
              <w:br/>
              <w:t>(</w:t>
            </w:r>
            <w:r>
              <w:rPr>
                <w:rFonts w:ascii="Century Gothic" w:hAnsi="Century Gothic"/>
                <w:sz w:val="22"/>
              </w:rPr>
              <w:t>tonnes</w:t>
            </w:r>
            <w:r w:rsidRPr="00F93E28">
              <w:rPr>
                <w:rFonts w:ascii="Century Gothic" w:hAnsi="Century Gothic"/>
                <w:sz w:val="22"/>
              </w:rPr>
              <w:t>)</w:t>
            </w:r>
          </w:p>
        </w:tc>
        <w:tc>
          <w:tcPr>
            <w:tcW w:w="1559" w:type="dxa"/>
            <w:shd w:val="clear" w:color="000000" w:fill="FFD966"/>
            <w:vAlign w:val="center"/>
            <w:hideMark/>
          </w:tcPr>
          <w:p w14:paraId="2FCE1672" w14:textId="77777777" w:rsidR="00601843" w:rsidRPr="00F93E28" w:rsidRDefault="00601843" w:rsidP="00F66E7B">
            <w:pPr>
              <w:jc w:val="center"/>
              <w:rPr>
                <w:rFonts w:ascii="Century Gothic" w:hAnsi="Century Gothic"/>
                <w:sz w:val="22"/>
              </w:rPr>
            </w:pPr>
            <w:r>
              <w:rPr>
                <w:rFonts w:ascii="Century Gothic" w:hAnsi="Century Gothic"/>
                <w:sz w:val="22"/>
              </w:rPr>
              <w:t>Spécification</w:t>
            </w:r>
          </w:p>
        </w:tc>
        <w:tc>
          <w:tcPr>
            <w:tcW w:w="2268" w:type="dxa"/>
            <w:shd w:val="clear" w:color="000000" w:fill="FFD966"/>
            <w:vAlign w:val="center"/>
            <w:hideMark/>
          </w:tcPr>
          <w:p w14:paraId="103FE6AA" w14:textId="77777777" w:rsidR="00601843" w:rsidRPr="00F93E28" w:rsidRDefault="00601843" w:rsidP="00F66E7B">
            <w:pPr>
              <w:jc w:val="center"/>
              <w:rPr>
                <w:rFonts w:ascii="Century Gothic" w:hAnsi="Century Gothic"/>
                <w:sz w:val="22"/>
              </w:rPr>
            </w:pPr>
            <w:r>
              <w:rPr>
                <w:rFonts w:ascii="Century Gothic" w:hAnsi="Century Gothic"/>
                <w:sz w:val="22"/>
              </w:rPr>
              <w:t>Germination</w:t>
            </w:r>
          </w:p>
        </w:tc>
        <w:tc>
          <w:tcPr>
            <w:tcW w:w="2551" w:type="dxa"/>
            <w:shd w:val="clear" w:color="000000" w:fill="FFD966"/>
            <w:vAlign w:val="center"/>
            <w:hideMark/>
          </w:tcPr>
          <w:p w14:paraId="7E80B3AA" w14:textId="77777777" w:rsidR="00601843" w:rsidRPr="00F93E28" w:rsidRDefault="00601843" w:rsidP="00F66E7B">
            <w:pPr>
              <w:jc w:val="center"/>
              <w:rPr>
                <w:rFonts w:ascii="Century Gothic" w:hAnsi="Century Gothic"/>
                <w:sz w:val="22"/>
              </w:rPr>
            </w:pPr>
            <w:r w:rsidRPr="00F93E28">
              <w:rPr>
                <w:rFonts w:ascii="Century Gothic" w:hAnsi="Century Gothic"/>
                <w:sz w:val="22"/>
              </w:rPr>
              <w:t>Observation</w:t>
            </w:r>
          </w:p>
        </w:tc>
      </w:tr>
      <w:tr w:rsidR="00601843" w:rsidRPr="00F93E28" w14:paraId="55481B9A" w14:textId="77777777" w:rsidTr="00F66E7B">
        <w:trPr>
          <w:trHeight w:val="183"/>
        </w:trPr>
        <w:tc>
          <w:tcPr>
            <w:tcW w:w="410" w:type="dxa"/>
            <w:noWrap/>
            <w:vAlign w:val="center"/>
          </w:tcPr>
          <w:p w14:paraId="0F1F141B" w14:textId="77777777" w:rsidR="00601843" w:rsidRPr="00F93E28" w:rsidRDefault="00601843" w:rsidP="00F66E7B">
            <w:pPr>
              <w:jc w:val="center"/>
              <w:rPr>
                <w:rFonts w:ascii="Century Gothic" w:hAnsi="Century Gothic"/>
                <w:sz w:val="22"/>
              </w:rPr>
            </w:pPr>
            <w:r>
              <w:rPr>
                <w:rFonts w:ascii="Century Gothic" w:hAnsi="Century Gothic"/>
                <w:sz w:val="22"/>
              </w:rPr>
              <w:t>1</w:t>
            </w:r>
          </w:p>
        </w:tc>
        <w:tc>
          <w:tcPr>
            <w:tcW w:w="1565" w:type="dxa"/>
            <w:noWrap/>
            <w:vAlign w:val="center"/>
          </w:tcPr>
          <w:p w14:paraId="3652FF2A" w14:textId="77777777" w:rsidR="00601843" w:rsidRPr="00F93E28" w:rsidRDefault="00601843" w:rsidP="00F66E7B">
            <w:pPr>
              <w:rPr>
                <w:rFonts w:ascii="Century Gothic" w:hAnsi="Century Gothic"/>
                <w:sz w:val="22"/>
              </w:rPr>
            </w:pPr>
            <w:r>
              <w:rPr>
                <w:rFonts w:ascii="Century Gothic" w:hAnsi="Century Gothic"/>
                <w:sz w:val="22"/>
              </w:rPr>
              <w:t xml:space="preserve">Semence de coton </w:t>
            </w:r>
          </w:p>
        </w:tc>
        <w:tc>
          <w:tcPr>
            <w:tcW w:w="1276" w:type="dxa"/>
            <w:vAlign w:val="center"/>
          </w:tcPr>
          <w:p w14:paraId="2913C04E" w14:textId="77777777" w:rsidR="00601843" w:rsidRPr="00F93E28" w:rsidRDefault="00601843" w:rsidP="00F66E7B">
            <w:pPr>
              <w:jc w:val="center"/>
              <w:rPr>
                <w:rFonts w:ascii="Century Gothic" w:hAnsi="Century Gothic"/>
                <w:sz w:val="22"/>
              </w:rPr>
            </w:pPr>
            <w:r>
              <w:rPr>
                <w:rFonts w:ascii="Century Gothic" w:hAnsi="Century Gothic"/>
                <w:sz w:val="22"/>
              </w:rPr>
              <w:t>50</w:t>
            </w:r>
          </w:p>
        </w:tc>
        <w:tc>
          <w:tcPr>
            <w:tcW w:w="1559" w:type="dxa"/>
            <w:vAlign w:val="center"/>
          </w:tcPr>
          <w:p w14:paraId="75C54633" w14:textId="77777777" w:rsidR="00601843" w:rsidRPr="00F93E28" w:rsidRDefault="00601843" w:rsidP="00F66E7B">
            <w:pPr>
              <w:jc w:val="center"/>
              <w:rPr>
                <w:rFonts w:ascii="Century Gothic" w:hAnsi="Century Gothic"/>
                <w:sz w:val="22"/>
              </w:rPr>
            </w:pPr>
            <w:r w:rsidRPr="00615E07">
              <w:rPr>
                <w:rFonts w:ascii="Century Gothic" w:hAnsi="Century Gothic"/>
                <w:sz w:val="22"/>
              </w:rPr>
              <w:t>STAM 279</w:t>
            </w:r>
          </w:p>
        </w:tc>
        <w:tc>
          <w:tcPr>
            <w:tcW w:w="2268" w:type="dxa"/>
            <w:vAlign w:val="center"/>
          </w:tcPr>
          <w:p w14:paraId="2C2318E0" w14:textId="77777777" w:rsidR="00601843" w:rsidRPr="00F93E28" w:rsidRDefault="00601843" w:rsidP="00F66E7B">
            <w:pPr>
              <w:jc w:val="center"/>
              <w:rPr>
                <w:rFonts w:ascii="Century Gothic" w:hAnsi="Century Gothic"/>
                <w:sz w:val="22"/>
              </w:rPr>
            </w:pPr>
            <w:r w:rsidRPr="00615E07">
              <w:rPr>
                <w:rFonts w:ascii="Century Gothic" w:hAnsi="Century Gothic"/>
                <w:sz w:val="22"/>
              </w:rPr>
              <w:t>R2 ou R3</w:t>
            </w:r>
          </w:p>
        </w:tc>
        <w:tc>
          <w:tcPr>
            <w:tcW w:w="2551" w:type="dxa"/>
          </w:tcPr>
          <w:p w14:paraId="597E1713" w14:textId="77777777" w:rsidR="00601843" w:rsidRPr="00F93E28" w:rsidRDefault="00601843" w:rsidP="00F66E7B">
            <w:pPr>
              <w:jc w:val="center"/>
              <w:rPr>
                <w:rFonts w:ascii="Century Gothic" w:hAnsi="Century Gothic"/>
                <w:sz w:val="22"/>
              </w:rPr>
            </w:pPr>
            <w:r w:rsidRPr="00364F76">
              <w:rPr>
                <w:rFonts w:ascii="Century Gothic" w:hAnsi="Century Gothic"/>
                <w:sz w:val="22"/>
              </w:rPr>
              <w:t>Semences exemptes de toutes maladies</w:t>
            </w:r>
          </w:p>
        </w:tc>
      </w:tr>
    </w:tbl>
    <w:p w14:paraId="4A57CBC5" w14:textId="77777777" w:rsidR="00601843" w:rsidRPr="00F93E28" w:rsidRDefault="00601843" w:rsidP="00601843">
      <w:pPr>
        <w:spacing w:before="200" w:after="200"/>
        <w:jc w:val="both"/>
        <w:rPr>
          <w:rFonts w:ascii="Century Gothic" w:hAnsi="Century Gothic"/>
          <w:sz w:val="22"/>
        </w:rPr>
      </w:pPr>
      <w:r w:rsidRPr="00F93E28">
        <w:rPr>
          <w:rFonts w:ascii="Century Gothic" w:hAnsi="Century Gothic"/>
          <w:sz w:val="22"/>
        </w:rPr>
        <w:t>Le Ministère de l’Agriculture sollicite des offres sous pli fermé de la part des candidats éligibles et répondant aux qualifications requises pour fournir les semences maraichères</w:t>
      </w:r>
      <w:r>
        <w:rPr>
          <w:rFonts w:ascii="Century Gothic" w:hAnsi="Century Gothic"/>
          <w:sz w:val="22"/>
        </w:rPr>
        <w:t>.</w:t>
      </w:r>
      <w:r w:rsidRPr="00F93E28">
        <w:rPr>
          <w:rFonts w:ascii="Century Gothic" w:hAnsi="Century Gothic"/>
          <w:sz w:val="22"/>
        </w:rPr>
        <w:t xml:space="preserve"> Aucune offre par variante ne sera prise en compte. </w:t>
      </w:r>
    </w:p>
    <w:p w14:paraId="253122D4" w14:textId="77777777" w:rsidR="00601843" w:rsidRPr="00F93E28" w:rsidRDefault="00601843" w:rsidP="00601843">
      <w:pPr>
        <w:spacing w:after="200"/>
        <w:jc w:val="both"/>
        <w:rPr>
          <w:rFonts w:ascii="Century Gothic" w:hAnsi="Century Gothic"/>
          <w:sz w:val="22"/>
        </w:rPr>
      </w:pPr>
      <w:r w:rsidRPr="00F93E28">
        <w:rPr>
          <w:rFonts w:ascii="Century Gothic" w:hAnsi="Century Gothic"/>
          <w:sz w:val="22"/>
        </w:rPr>
        <w:t>La participation à cet appel d’offres national</w:t>
      </w:r>
      <w:r>
        <w:rPr>
          <w:rFonts w:ascii="Century Gothic" w:hAnsi="Century Gothic"/>
          <w:sz w:val="22"/>
        </w:rPr>
        <w:t xml:space="preserve"> </w:t>
      </w:r>
      <w:r w:rsidRPr="00F93E28">
        <w:rPr>
          <w:rFonts w:ascii="Century Gothic" w:hAnsi="Century Gothic"/>
          <w:sz w:val="22"/>
        </w:rPr>
        <w:t>ouvert tel que défini aux articles 23 et suivants du Code des Marchés Publics concerne tous les candidats éligibles et remplissant les conditions définies dans le présent Dossier d'Appel d'Offre</w:t>
      </w:r>
      <w:r>
        <w:rPr>
          <w:rFonts w:ascii="Century Gothic" w:hAnsi="Century Gothic"/>
          <w:sz w:val="22"/>
        </w:rPr>
        <w:t>s</w:t>
      </w:r>
      <w:r w:rsidRPr="00F93E28">
        <w:rPr>
          <w:rFonts w:ascii="Century Gothic" w:hAnsi="Century Gothic"/>
          <w:sz w:val="22"/>
        </w:rPr>
        <w:t xml:space="preserve"> international ouvert et qui ne sont pas concernés par un des cas d’inéligibilité prévus à l’article 64 du Code des Marchés Publics.</w:t>
      </w:r>
    </w:p>
    <w:p w14:paraId="6911E5D2" w14:textId="77777777" w:rsidR="00601843" w:rsidRPr="00F93E28" w:rsidRDefault="00601843" w:rsidP="00601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Century Gothic" w:hAnsi="Century Gothic"/>
          <w:sz w:val="22"/>
        </w:rPr>
      </w:pPr>
      <w:r w:rsidRPr="00F93E28">
        <w:rPr>
          <w:rFonts w:ascii="Century Gothic" w:hAnsi="Century Gothic"/>
          <w:sz w:val="22"/>
        </w:rPr>
        <w:t>Les candidats intéressés peuvent obtenir des informations auprès de la</w:t>
      </w:r>
      <w:r>
        <w:rPr>
          <w:rFonts w:ascii="Century Gothic" w:hAnsi="Century Gothic"/>
          <w:sz w:val="22"/>
        </w:rPr>
        <w:t xml:space="preserve"> Société Cotonnière de Kankan</w:t>
      </w:r>
      <w:r w:rsidRPr="00F93E28">
        <w:rPr>
          <w:rFonts w:ascii="Century Gothic" w:hAnsi="Century Gothic"/>
          <w:sz w:val="22"/>
        </w:rPr>
        <w:t xml:space="preserve"> et de la Personne Responsable des Marchés Publics du Ministère de l’Agriculture  sis à Conakry BP 576, Conakry, Guinée  Tél : + (224)  622 67 27 21 </w:t>
      </w:r>
      <w:r>
        <w:rPr>
          <w:rFonts w:ascii="Century Gothic" w:hAnsi="Century Gothic"/>
          <w:sz w:val="22"/>
        </w:rPr>
        <w:t>E-mail :</w:t>
      </w:r>
      <w:r w:rsidRPr="00F93E28">
        <w:rPr>
          <w:rFonts w:ascii="Century Gothic" w:hAnsi="Century Gothic"/>
          <w:sz w:val="22"/>
        </w:rPr>
        <w:t xml:space="preserve"> </w:t>
      </w:r>
      <w:hyperlink r:id="rId5" w:history="1">
        <w:r w:rsidRPr="00E84B1B">
          <w:rPr>
            <w:rStyle w:val="Lienhypertexte"/>
            <w:rFonts w:ascii="Century Gothic" w:hAnsi="Century Gothic"/>
            <w:sz w:val="22"/>
          </w:rPr>
          <w:t>kstraore@magel.gov.gn</w:t>
        </w:r>
      </w:hyperlink>
      <w:r>
        <w:rPr>
          <w:rFonts w:ascii="Century Gothic" w:hAnsi="Century Gothic"/>
          <w:sz w:val="22"/>
        </w:rPr>
        <w:t xml:space="preserve"> </w:t>
      </w:r>
      <w:r w:rsidRPr="00F93E28">
        <w:rPr>
          <w:rFonts w:ascii="Century Gothic" w:hAnsi="Century Gothic"/>
          <w:sz w:val="22"/>
        </w:rPr>
        <w:t xml:space="preserve">  ou la </w:t>
      </w:r>
      <w:r>
        <w:rPr>
          <w:rFonts w:ascii="Century Gothic" w:hAnsi="Century Gothic"/>
          <w:sz w:val="22"/>
        </w:rPr>
        <w:t>Société Cotonnière de Kankan</w:t>
      </w:r>
      <w:r w:rsidRPr="00F93E28">
        <w:rPr>
          <w:rFonts w:ascii="Century Gothic" w:hAnsi="Century Gothic"/>
          <w:sz w:val="22"/>
        </w:rPr>
        <w:t xml:space="preserve"> </w:t>
      </w:r>
      <w:r>
        <w:rPr>
          <w:rFonts w:ascii="Century Gothic" w:hAnsi="Century Gothic"/>
          <w:sz w:val="22"/>
        </w:rPr>
        <w:t xml:space="preserve">+224 </w:t>
      </w:r>
      <w:r w:rsidRPr="00F93E28">
        <w:rPr>
          <w:rFonts w:ascii="Century Gothic" w:hAnsi="Century Gothic"/>
          <w:sz w:val="22"/>
        </w:rPr>
        <w:t xml:space="preserve">621 </w:t>
      </w:r>
      <w:r>
        <w:rPr>
          <w:rFonts w:ascii="Century Gothic" w:hAnsi="Century Gothic"/>
          <w:sz w:val="22"/>
        </w:rPr>
        <w:t>86 79 35</w:t>
      </w:r>
      <w:r w:rsidRPr="00F93E28">
        <w:rPr>
          <w:rFonts w:ascii="Century Gothic" w:hAnsi="Century Gothic"/>
          <w:sz w:val="22"/>
        </w:rPr>
        <w:t xml:space="preserve"> </w:t>
      </w:r>
      <w:r>
        <w:rPr>
          <w:rFonts w:ascii="Century Gothic" w:hAnsi="Century Gothic"/>
          <w:sz w:val="22"/>
        </w:rPr>
        <w:t xml:space="preserve">E-mail : </w:t>
      </w:r>
      <w:hyperlink r:id="rId6" w:history="1">
        <w:r w:rsidRPr="00E44F1A">
          <w:rPr>
            <w:rStyle w:val="Lienhypertexte"/>
            <w:rFonts w:ascii="Century Gothic" w:hAnsi="Century Gothic"/>
            <w:sz w:val="22"/>
          </w:rPr>
          <w:t>cotondeguinee.sck.sa@gmail.com</w:t>
        </w:r>
      </w:hyperlink>
      <w:r>
        <w:rPr>
          <w:rFonts w:ascii="Century Gothic" w:hAnsi="Century Gothic"/>
          <w:sz w:val="22"/>
        </w:rPr>
        <w:t xml:space="preserve"> </w:t>
      </w:r>
      <w:r w:rsidRPr="00F93E28">
        <w:rPr>
          <w:rFonts w:ascii="Century Gothic" w:hAnsi="Century Gothic"/>
          <w:sz w:val="22"/>
        </w:rPr>
        <w:t>et prendre connaissance des documents d’Appel d’offres  du lundi au Jeudi de 9H à 16H30 mn et le vendredi de 9H à 12H.</w:t>
      </w:r>
    </w:p>
    <w:p w14:paraId="6EAA9C14" w14:textId="77777777" w:rsidR="00601843" w:rsidRPr="00F93E28" w:rsidRDefault="00601843" w:rsidP="00601843">
      <w:pPr>
        <w:spacing w:after="200"/>
        <w:jc w:val="both"/>
        <w:rPr>
          <w:rFonts w:ascii="Century Gothic" w:hAnsi="Century Gothic"/>
          <w:sz w:val="22"/>
        </w:rPr>
      </w:pPr>
      <w:r w:rsidRPr="00F93E28">
        <w:rPr>
          <w:rFonts w:ascii="Century Gothic" w:hAnsi="Century Gothic"/>
          <w:sz w:val="22"/>
        </w:rPr>
        <w:t xml:space="preserve">Les exigences en matière de qualification sont : (Voir le document d’Appel d’offres pour les informations détaillées). </w:t>
      </w:r>
    </w:p>
    <w:p w14:paraId="22328F99" w14:textId="77777777" w:rsidR="00601843" w:rsidRPr="00F93E28" w:rsidRDefault="00601843" w:rsidP="00601843">
      <w:pPr>
        <w:spacing w:after="200"/>
        <w:jc w:val="both"/>
        <w:rPr>
          <w:rFonts w:ascii="Century Gothic" w:hAnsi="Century Gothic"/>
          <w:sz w:val="22"/>
        </w:rPr>
      </w:pPr>
      <w:r w:rsidRPr="00F93E28">
        <w:rPr>
          <w:rFonts w:ascii="Century Gothic" w:hAnsi="Century Gothic"/>
          <w:sz w:val="22"/>
        </w:rPr>
        <w:t xml:space="preserve">Une </w:t>
      </w:r>
      <w:r w:rsidRPr="00543D0A">
        <w:rPr>
          <w:rFonts w:ascii="Century Gothic" w:hAnsi="Century Gothic"/>
          <w:b/>
          <w:sz w:val="22"/>
        </w:rPr>
        <w:t>redevance de 0.60%</w:t>
      </w:r>
      <w:r w:rsidRPr="00F93E28">
        <w:rPr>
          <w:rFonts w:ascii="Century Gothic" w:hAnsi="Century Gothic"/>
          <w:sz w:val="22"/>
        </w:rPr>
        <w:t xml:space="preserve"> du montant hors taxes sera payé à l’ARMP par le titulaire du marché dont les modalités sont définies par voie règlementaires</w:t>
      </w:r>
    </w:p>
    <w:p w14:paraId="11C87146" w14:textId="3A9A4515" w:rsidR="00601843" w:rsidRDefault="00601843" w:rsidP="00601843">
      <w:pPr>
        <w:spacing w:after="200"/>
        <w:jc w:val="both"/>
        <w:rPr>
          <w:rFonts w:ascii="Century Gothic" w:hAnsi="Century Gothic"/>
          <w:sz w:val="22"/>
        </w:rPr>
      </w:pPr>
      <w:r w:rsidRPr="00543D0A">
        <w:rPr>
          <w:rFonts w:ascii="Century Gothic" w:hAnsi="Century Gothic"/>
          <w:b/>
          <w:sz w:val="22"/>
        </w:rPr>
        <w:t>0,3% du montant hors taxes</w:t>
      </w:r>
      <w:r w:rsidRPr="00F93E28">
        <w:rPr>
          <w:rFonts w:ascii="Century Gothic" w:hAnsi="Century Gothic"/>
          <w:sz w:val="22"/>
        </w:rPr>
        <w:t xml:space="preserve"> du contrat sera payé au compte de la DGCMP, comme frais d’immatriculation des contrats</w:t>
      </w:r>
    </w:p>
    <w:p w14:paraId="51AE5069" w14:textId="77777777" w:rsidR="00601843" w:rsidRDefault="00601843" w:rsidP="00601843">
      <w:pPr>
        <w:spacing w:after="200"/>
        <w:jc w:val="both"/>
        <w:rPr>
          <w:rFonts w:ascii="Century Gothic" w:hAnsi="Century Gothic"/>
          <w:sz w:val="22"/>
        </w:rPr>
      </w:pPr>
      <w:r w:rsidRPr="00F93E28">
        <w:rPr>
          <w:rFonts w:ascii="Century Gothic" w:hAnsi="Century Gothic"/>
          <w:sz w:val="22"/>
        </w:rPr>
        <w:t>Les Soumissionnaires intéressés peuvent obtenir les Documents d’Appel d’Offres complets en français à l’adresse mentionnée ci-dessus contre un paiement non remboursable de </w:t>
      </w:r>
      <w:r>
        <w:rPr>
          <w:rFonts w:ascii="Century Gothic" w:hAnsi="Century Gothic"/>
          <w:b/>
          <w:sz w:val="22"/>
        </w:rPr>
        <w:t>trois</w:t>
      </w:r>
      <w:r w:rsidRPr="00EE392A">
        <w:rPr>
          <w:rFonts w:ascii="Century Gothic" w:hAnsi="Century Gothic"/>
          <w:b/>
          <w:sz w:val="22"/>
        </w:rPr>
        <w:t xml:space="preserve"> millions francs guinéens (</w:t>
      </w:r>
      <w:r>
        <w:rPr>
          <w:rFonts w:ascii="Century Gothic" w:hAnsi="Century Gothic"/>
          <w:b/>
          <w:sz w:val="22"/>
        </w:rPr>
        <w:t>3</w:t>
      </w:r>
      <w:r w:rsidRPr="00EE392A">
        <w:rPr>
          <w:rFonts w:ascii="Century Gothic" w:hAnsi="Century Gothic"/>
          <w:b/>
          <w:sz w:val="22"/>
        </w:rPr>
        <w:t> 000 000 GNF).</w:t>
      </w:r>
      <w:r w:rsidRPr="00F93E28">
        <w:rPr>
          <w:rFonts w:ascii="Century Gothic" w:hAnsi="Century Gothic"/>
          <w:sz w:val="22"/>
        </w:rPr>
        <w:t xml:space="preserve"> Le montant est réparti comme </w:t>
      </w:r>
      <w:proofErr w:type="gramStart"/>
      <w:r w:rsidRPr="00F93E28">
        <w:rPr>
          <w:rFonts w:ascii="Century Gothic" w:hAnsi="Century Gothic"/>
          <w:sz w:val="22"/>
        </w:rPr>
        <w:t>suit:</w:t>
      </w:r>
      <w:proofErr w:type="gramEnd"/>
      <w:r w:rsidRPr="00F93E28">
        <w:rPr>
          <w:rFonts w:ascii="Century Gothic" w:hAnsi="Century Gothic"/>
          <w:sz w:val="22"/>
        </w:rPr>
        <w:t xml:space="preserve"> </w:t>
      </w:r>
    </w:p>
    <w:p w14:paraId="7C0C962D" w14:textId="77777777" w:rsidR="00424BFF" w:rsidRDefault="00424BFF" w:rsidP="00601843">
      <w:pPr>
        <w:spacing w:after="200"/>
        <w:jc w:val="both"/>
        <w:rPr>
          <w:rFonts w:ascii="Century Gothic" w:hAnsi="Century Gothic"/>
          <w:sz w:val="22"/>
        </w:rPr>
      </w:pPr>
    </w:p>
    <w:p w14:paraId="7B32D2C1" w14:textId="77777777" w:rsidR="00424BFF" w:rsidRDefault="00424BFF" w:rsidP="00601843">
      <w:pPr>
        <w:spacing w:after="200"/>
        <w:jc w:val="both"/>
        <w:rPr>
          <w:rFonts w:ascii="Century Gothic" w:hAnsi="Century Gothic"/>
          <w:sz w:val="22"/>
        </w:rPr>
      </w:pPr>
    </w:p>
    <w:p w14:paraId="2124298D" w14:textId="77777777" w:rsidR="00424BFF" w:rsidRPr="00F93E28" w:rsidRDefault="00424BFF" w:rsidP="00601843">
      <w:pPr>
        <w:spacing w:after="200"/>
        <w:jc w:val="both"/>
        <w:rPr>
          <w:rFonts w:ascii="Century Gothic" w:hAnsi="Century Gothic"/>
          <w:sz w:val="22"/>
        </w:rPr>
      </w:pPr>
    </w:p>
    <w:p w14:paraId="274FBF03" w14:textId="77777777" w:rsidR="00601843" w:rsidRPr="00F93E28" w:rsidRDefault="00601843" w:rsidP="00601843">
      <w:pPr>
        <w:numPr>
          <w:ilvl w:val="1"/>
          <w:numId w:val="1"/>
        </w:numPr>
        <w:jc w:val="both"/>
        <w:rPr>
          <w:rFonts w:ascii="Century Gothic" w:hAnsi="Century Gothic"/>
          <w:sz w:val="22"/>
        </w:rPr>
      </w:pPr>
      <w:r w:rsidRPr="00543D0A">
        <w:rPr>
          <w:rFonts w:ascii="Century Gothic" w:hAnsi="Century Gothic"/>
          <w:b/>
          <w:sz w:val="22"/>
        </w:rPr>
        <w:t>50%</w:t>
      </w:r>
      <w:r w:rsidRPr="00F93E28">
        <w:rPr>
          <w:rFonts w:ascii="Century Gothic" w:hAnsi="Century Gothic"/>
          <w:sz w:val="22"/>
        </w:rPr>
        <w:t xml:space="preserve"> au compte N°41 110 71 « Receveur central du trésor » ;</w:t>
      </w:r>
    </w:p>
    <w:p w14:paraId="395F9B06" w14:textId="77777777" w:rsidR="00601843" w:rsidRPr="00F93E28" w:rsidRDefault="00601843" w:rsidP="00601843">
      <w:pPr>
        <w:numPr>
          <w:ilvl w:val="1"/>
          <w:numId w:val="1"/>
        </w:numPr>
        <w:jc w:val="both"/>
        <w:rPr>
          <w:rFonts w:ascii="Century Gothic" w:hAnsi="Century Gothic"/>
          <w:sz w:val="22"/>
        </w:rPr>
      </w:pPr>
      <w:r w:rsidRPr="00543D0A">
        <w:rPr>
          <w:rFonts w:ascii="Century Gothic" w:hAnsi="Century Gothic"/>
          <w:b/>
          <w:sz w:val="22"/>
        </w:rPr>
        <w:t>30%</w:t>
      </w:r>
      <w:r w:rsidRPr="00F93E28">
        <w:rPr>
          <w:rFonts w:ascii="Century Gothic" w:hAnsi="Century Gothic"/>
          <w:sz w:val="22"/>
        </w:rPr>
        <w:t xml:space="preserve"> au compte N° 201 1000 407 de l’ARMP ouvert à la BCRG ;</w:t>
      </w:r>
    </w:p>
    <w:p w14:paraId="7B5E0DF9" w14:textId="19936926" w:rsidR="00F80253" w:rsidRPr="000B5615" w:rsidRDefault="00601843" w:rsidP="000B5615">
      <w:pPr>
        <w:pStyle w:val="Paragraphedeliste"/>
        <w:numPr>
          <w:ilvl w:val="1"/>
          <w:numId w:val="1"/>
        </w:numPr>
        <w:jc w:val="both"/>
        <w:rPr>
          <w:rFonts w:ascii="Century Gothic" w:hAnsi="Century Gothic"/>
          <w:sz w:val="4"/>
        </w:rPr>
      </w:pPr>
      <w:r w:rsidRPr="000B5615">
        <w:rPr>
          <w:rFonts w:ascii="Century Gothic" w:hAnsi="Century Gothic"/>
          <w:b/>
          <w:sz w:val="22"/>
        </w:rPr>
        <w:t>20%</w:t>
      </w:r>
      <w:r w:rsidRPr="000B5615">
        <w:rPr>
          <w:rFonts w:ascii="Century Gothic" w:hAnsi="Century Gothic"/>
          <w:sz w:val="22"/>
        </w:rPr>
        <w:t xml:space="preserve"> au compte de l’autorité contractante</w:t>
      </w:r>
      <w:r w:rsidR="00F80253" w:rsidRPr="000B5615">
        <w:rPr>
          <w:rFonts w:ascii="Century Gothic" w:hAnsi="Century Gothic"/>
          <w:sz w:val="22"/>
        </w:rPr>
        <w:t>.</w:t>
      </w:r>
    </w:p>
    <w:p w14:paraId="23CB1337" w14:textId="2FAF83BF" w:rsidR="00601843" w:rsidRPr="00533473" w:rsidRDefault="00601843" w:rsidP="00F80253">
      <w:pPr>
        <w:ind w:left="1440"/>
        <w:jc w:val="both"/>
        <w:rPr>
          <w:rFonts w:ascii="Century Gothic" w:hAnsi="Century Gothic"/>
          <w:sz w:val="4"/>
        </w:rPr>
      </w:pPr>
      <w:r w:rsidRPr="00533473">
        <w:rPr>
          <w:rFonts w:ascii="Century Gothic" w:hAnsi="Century Gothic"/>
          <w:sz w:val="22"/>
        </w:rPr>
        <w:t xml:space="preserve"> </w:t>
      </w:r>
    </w:p>
    <w:p w14:paraId="40ACFD3F" w14:textId="77777777" w:rsidR="00601843" w:rsidRPr="000551FE" w:rsidRDefault="00601843" w:rsidP="00601843">
      <w:pPr>
        <w:spacing w:after="200"/>
        <w:jc w:val="both"/>
        <w:rPr>
          <w:rFonts w:ascii="Century Gothic" w:hAnsi="Century Gothic"/>
          <w:sz w:val="22"/>
        </w:rPr>
      </w:pPr>
      <w:r w:rsidRPr="00F93E28">
        <w:rPr>
          <w:rFonts w:ascii="Century Gothic" w:hAnsi="Century Gothic"/>
          <w:sz w:val="22"/>
        </w:rPr>
        <w:t>Le document d’Appel d’offres sera immédiatement remis aux candidats après présentation des reçus de versement</w:t>
      </w:r>
      <w:r w:rsidRPr="00543D0A">
        <w:rPr>
          <w:rFonts w:ascii="Century Gothic" w:hAnsi="Century Gothic"/>
          <w:sz w:val="22"/>
        </w:rPr>
        <w:t>.</w:t>
      </w:r>
    </w:p>
    <w:p w14:paraId="477C32AD" w14:textId="77777777" w:rsidR="00601843" w:rsidRPr="00F93E28" w:rsidRDefault="00601843" w:rsidP="00601843">
      <w:pPr>
        <w:spacing w:after="200"/>
        <w:jc w:val="both"/>
        <w:rPr>
          <w:rFonts w:ascii="Century Gothic" w:hAnsi="Century Gothic"/>
          <w:b/>
          <w:sz w:val="22"/>
        </w:rPr>
      </w:pPr>
      <w:r w:rsidRPr="006B0A38">
        <w:rPr>
          <w:rFonts w:ascii="Century Gothic" w:hAnsi="Century Gothic"/>
          <w:sz w:val="22"/>
        </w:rPr>
        <w:t xml:space="preserve">Les offres sont rédigées en langue française et devront être déposées en quatre (04) exemplaires dont un (01) original et trois (03) copies à l’adresse ci-après : Personne Responsable des marchés publics du Ministère de l’Agriculture et de l’Elevage au plus tard le </w:t>
      </w:r>
      <w:r>
        <w:rPr>
          <w:rFonts w:ascii="Century Gothic" w:hAnsi="Century Gothic"/>
          <w:b/>
          <w:bCs/>
          <w:sz w:val="22"/>
        </w:rPr>
        <w:t>08 Mars</w:t>
      </w:r>
      <w:r w:rsidRPr="00F93E28">
        <w:rPr>
          <w:rFonts w:ascii="Century Gothic" w:hAnsi="Century Gothic"/>
          <w:b/>
          <w:sz w:val="22"/>
        </w:rPr>
        <w:t xml:space="preserve"> 202</w:t>
      </w:r>
      <w:r>
        <w:rPr>
          <w:rFonts w:ascii="Century Gothic" w:hAnsi="Century Gothic"/>
          <w:b/>
          <w:sz w:val="22"/>
        </w:rPr>
        <w:t>6</w:t>
      </w:r>
      <w:r w:rsidRPr="00F93E28">
        <w:rPr>
          <w:rFonts w:ascii="Century Gothic" w:hAnsi="Century Gothic"/>
          <w:b/>
          <w:sz w:val="22"/>
        </w:rPr>
        <w:t xml:space="preserve"> à 10h 30 mn</w:t>
      </w:r>
      <w:r>
        <w:rPr>
          <w:rFonts w:ascii="Century Gothic" w:hAnsi="Century Gothic"/>
          <w:sz w:val="22"/>
        </w:rPr>
        <w:t xml:space="preserve"> date limite des dépôts des plis</w:t>
      </w:r>
      <w:r w:rsidRPr="006B0A38">
        <w:rPr>
          <w:rFonts w:ascii="Century Gothic" w:hAnsi="Century Gothic"/>
          <w:sz w:val="22"/>
        </w:rPr>
        <w:t>. Les offres qui ne parviendront</w:t>
      </w:r>
      <w:r>
        <w:rPr>
          <w:rFonts w:ascii="Century Gothic" w:hAnsi="Century Gothic"/>
          <w:sz w:val="22"/>
        </w:rPr>
        <w:t xml:space="preserve"> pas aux heures et date ci-dessu</w:t>
      </w:r>
      <w:r w:rsidRPr="006B0A38">
        <w:rPr>
          <w:rFonts w:ascii="Century Gothic" w:hAnsi="Century Gothic"/>
          <w:sz w:val="22"/>
        </w:rPr>
        <w:t>s indiquées, seront purement et simplement rejetées et retournées aux frais des soumissionnaires concernés sans être ouvertes. Les offres seront ouvertes le cas échéant, en présence d’un observateur indépendant et des représentants des soumissionnaires qui désirent participer à l’ouverture des plis et, à l’adresse suivante : Guinée-Conakry-Commune de Kaloum -</w:t>
      </w:r>
      <w:proofErr w:type="spellStart"/>
      <w:r w:rsidRPr="006B0A38">
        <w:rPr>
          <w:rFonts w:ascii="Century Gothic" w:hAnsi="Century Gothic"/>
          <w:sz w:val="22"/>
        </w:rPr>
        <w:t>Almamya</w:t>
      </w:r>
      <w:proofErr w:type="spellEnd"/>
      <w:r w:rsidRPr="006B0A38">
        <w:rPr>
          <w:rFonts w:ascii="Century Gothic" w:hAnsi="Century Gothic"/>
          <w:sz w:val="22"/>
        </w:rPr>
        <w:t xml:space="preserve"> à la salle de réunion du Ministère de l’Agriculture et de l’Elevage, numéro de téléphone </w:t>
      </w:r>
      <w:bookmarkStart w:id="0" w:name="_Hlk115163150"/>
      <w:r w:rsidRPr="00F93E28">
        <w:rPr>
          <w:rFonts w:ascii="Century Gothic" w:hAnsi="Century Gothic"/>
          <w:b/>
          <w:sz w:val="22"/>
        </w:rPr>
        <w:t>+224 622 67 27 21</w:t>
      </w:r>
      <w:bookmarkEnd w:id="0"/>
      <w:r w:rsidRPr="00F93E28">
        <w:rPr>
          <w:rFonts w:ascii="Century Gothic" w:hAnsi="Century Gothic"/>
          <w:b/>
          <w:sz w:val="22"/>
        </w:rPr>
        <w:t xml:space="preserve">, le </w:t>
      </w:r>
      <w:r>
        <w:rPr>
          <w:rFonts w:ascii="Century Gothic" w:hAnsi="Century Gothic"/>
          <w:b/>
          <w:sz w:val="22"/>
        </w:rPr>
        <w:t xml:space="preserve">08 Mars </w:t>
      </w:r>
      <w:r w:rsidRPr="00F93E28">
        <w:rPr>
          <w:rFonts w:ascii="Century Gothic" w:hAnsi="Century Gothic"/>
          <w:b/>
          <w:sz w:val="22"/>
        </w:rPr>
        <w:t>202</w:t>
      </w:r>
      <w:r>
        <w:rPr>
          <w:rFonts w:ascii="Century Gothic" w:hAnsi="Century Gothic"/>
          <w:b/>
          <w:sz w:val="22"/>
        </w:rPr>
        <w:t>6</w:t>
      </w:r>
      <w:r w:rsidRPr="00F93E28">
        <w:rPr>
          <w:rFonts w:ascii="Century Gothic" w:hAnsi="Century Gothic"/>
          <w:b/>
          <w:sz w:val="22"/>
        </w:rPr>
        <w:t xml:space="preserve"> à 11H.</w:t>
      </w:r>
    </w:p>
    <w:p w14:paraId="02B0FA0F" w14:textId="77777777" w:rsidR="00601843" w:rsidRPr="006B0A38" w:rsidRDefault="00601843" w:rsidP="00601843">
      <w:pPr>
        <w:spacing w:after="200"/>
        <w:jc w:val="both"/>
        <w:rPr>
          <w:rFonts w:ascii="Century Gothic" w:hAnsi="Century Gothic"/>
          <w:sz w:val="22"/>
        </w:rPr>
      </w:pPr>
      <w:r w:rsidRPr="006B0A38">
        <w:rPr>
          <w:rFonts w:ascii="Century Gothic" w:hAnsi="Century Gothic"/>
          <w:sz w:val="22"/>
        </w:rPr>
        <w:t xml:space="preserve">Les offres doivent comprendre une garantie bancaire de soumission d’un montant </w:t>
      </w:r>
      <w:r w:rsidRPr="00533473">
        <w:rPr>
          <w:rFonts w:ascii="Century Gothic" w:hAnsi="Century Gothic"/>
          <w:sz w:val="22"/>
        </w:rPr>
        <w:t xml:space="preserve">de </w:t>
      </w:r>
      <w:r>
        <w:rPr>
          <w:rFonts w:ascii="Century Gothic" w:hAnsi="Century Gothic"/>
          <w:b/>
          <w:bCs/>
          <w:sz w:val="22"/>
        </w:rPr>
        <w:t>vingt</w:t>
      </w:r>
      <w:r w:rsidRPr="005D12BF">
        <w:rPr>
          <w:rFonts w:ascii="Century Gothic" w:hAnsi="Century Gothic"/>
          <w:b/>
          <w:bCs/>
          <w:sz w:val="22"/>
        </w:rPr>
        <w:t xml:space="preserve"> millions</w:t>
      </w:r>
      <w:r w:rsidRPr="00533473">
        <w:rPr>
          <w:rFonts w:ascii="Century Gothic" w:hAnsi="Century Gothic"/>
          <w:b/>
          <w:sz w:val="22"/>
        </w:rPr>
        <w:t xml:space="preserve"> francs guinéens (</w:t>
      </w:r>
      <w:r>
        <w:rPr>
          <w:rFonts w:ascii="Century Gothic" w:hAnsi="Century Gothic"/>
          <w:b/>
          <w:sz w:val="22"/>
        </w:rPr>
        <w:t>20</w:t>
      </w:r>
      <w:r w:rsidRPr="00533473">
        <w:rPr>
          <w:rFonts w:ascii="Century Gothic" w:hAnsi="Century Gothic"/>
          <w:b/>
          <w:sz w:val="22"/>
        </w:rPr>
        <w:t> 000 000 GNF)</w:t>
      </w:r>
      <w:r w:rsidRPr="00533473">
        <w:rPr>
          <w:rFonts w:ascii="Century Gothic" w:hAnsi="Century Gothic"/>
          <w:sz w:val="22"/>
        </w:rPr>
        <w:t>.</w:t>
      </w:r>
      <w:r w:rsidRPr="006B0A38">
        <w:rPr>
          <w:rFonts w:ascii="Century Gothic" w:hAnsi="Century Gothic"/>
          <w:sz w:val="22"/>
        </w:rPr>
        <w:t xml:space="preserve"> Cette garantie demeurera valide pendant </w:t>
      </w:r>
      <w:r w:rsidRPr="00543D0A">
        <w:rPr>
          <w:rFonts w:ascii="Century Gothic" w:hAnsi="Century Gothic"/>
          <w:b/>
          <w:sz w:val="22"/>
        </w:rPr>
        <w:t>trente (30) jours</w:t>
      </w:r>
      <w:r w:rsidRPr="006B0A38">
        <w:rPr>
          <w:rFonts w:ascii="Century Gothic" w:hAnsi="Century Gothic"/>
          <w:sz w:val="22"/>
        </w:rPr>
        <w:t xml:space="preserve"> après l’expiration de la durée de validité de l’offre.</w:t>
      </w:r>
    </w:p>
    <w:p w14:paraId="5A75B171" w14:textId="77777777" w:rsidR="00601843" w:rsidRPr="006B0A38" w:rsidRDefault="00601843" w:rsidP="00601843">
      <w:pPr>
        <w:spacing w:after="200"/>
        <w:jc w:val="both"/>
        <w:rPr>
          <w:rFonts w:ascii="Century Gothic" w:hAnsi="Century Gothic"/>
          <w:sz w:val="22"/>
        </w:rPr>
      </w:pPr>
      <w:r w:rsidRPr="006B0A38">
        <w:rPr>
          <w:rFonts w:ascii="Century Gothic" w:hAnsi="Century Gothic"/>
          <w:sz w:val="22"/>
        </w:rPr>
        <w:t xml:space="preserve">Les offres devront demeurer valides pendant une durée de </w:t>
      </w:r>
      <w:r w:rsidRPr="00543D0A">
        <w:rPr>
          <w:rFonts w:ascii="Century Gothic" w:hAnsi="Century Gothic"/>
          <w:b/>
          <w:sz w:val="22"/>
        </w:rPr>
        <w:t>quatre-vingt-dix (90) jours</w:t>
      </w:r>
      <w:r w:rsidRPr="006B0A38">
        <w:rPr>
          <w:rFonts w:ascii="Century Gothic" w:hAnsi="Century Gothic"/>
          <w:sz w:val="22"/>
        </w:rPr>
        <w:t xml:space="preserve"> à compter de la date limite de soumission.</w:t>
      </w:r>
    </w:p>
    <w:p w14:paraId="70252B65" w14:textId="4CBFE886" w:rsidR="00601843" w:rsidRDefault="00601843" w:rsidP="00601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rPr>
      </w:pPr>
      <w:r>
        <w:rPr>
          <w:rFonts w:ascii="Century Gothic" w:hAnsi="Century Gothic"/>
          <w:sz w:val="22"/>
        </w:rPr>
        <w:t xml:space="preserve">                                                                                               Le </w:t>
      </w:r>
      <w:r w:rsidR="00F02229">
        <w:rPr>
          <w:rFonts w:ascii="Century Gothic" w:hAnsi="Century Gothic"/>
          <w:sz w:val="22"/>
        </w:rPr>
        <w:t xml:space="preserve">Directeur </w:t>
      </w:r>
      <w:r>
        <w:rPr>
          <w:rFonts w:ascii="Century Gothic" w:hAnsi="Century Gothic"/>
          <w:sz w:val="22"/>
        </w:rPr>
        <w:t xml:space="preserve">Général </w:t>
      </w:r>
    </w:p>
    <w:p w14:paraId="17C41B35" w14:textId="77777777" w:rsidR="00424BFF" w:rsidRPr="006B0A38" w:rsidRDefault="00424BFF" w:rsidP="006018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sz w:val="22"/>
        </w:rPr>
      </w:pPr>
    </w:p>
    <w:p w14:paraId="5CFEAF63" w14:textId="77777777" w:rsidR="00601843" w:rsidRPr="006B0A38" w:rsidRDefault="00601843" w:rsidP="00601843">
      <w:pPr>
        <w:spacing w:after="200"/>
        <w:jc w:val="both"/>
        <w:rPr>
          <w:rFonts w:ascii="Century Gothic" w:hAnsi="Century Gothic"/>
          <w:sz w:val="22"/>
        </w:rPr>
      </w:pPr>
    </w:p>
    <w:p w14:paraId="319B3FCF" w14:textId="77777777" w:rsidR="00601843" w:rsidRPr="006B0A38" w:rsidRDefault="00601843" w:rsidP="00601843">
      <w:pPr>
        <w:jc w:val="both"/>
        <w:rPr>
          <w:rFonts w:ascii="Century Gothic" w:hAnsi="Century Gothic"/>
          <w:sz w:val="22"/>
        </w:rPr>
      </w:pPr>
      <w:r>
        <w:rPr>
          <w:rFonts w:ascii="Century Gothic" w:hAnsi="Century Gothic"/>
          <w:sz w:val="22"/>
        </w:rPr>
        <w:t xml:space="preserve">    </w:t>
      </w:r>
    </w:p>
    <w:p w14:paraId="2BEBAFAF" w14:textId="6C9DFB04" w:rsidR="00601843" w:rsidRPr="00CE732F" w:rsidRDefault="00601843" w:rsidP="00601843">
      <w:pPr>
        <w:tabs>
          <w:tab w:val="left" w:pos="6990"/>
        </w:tabs>
        <w:jc w:val="center"/>
        <w:rPr>
          <w:rFonts w:ascii="Century Gothic" w:hAnsi="Century Gothic"/>
          <w:b/>
          <w:u w:val="single"/>
        </w:rPr>
      </w:pPr>
      <w:r w:rsidRPr="00CE732F">
        <w:rPr>
          <w:rFonts w:ascii="Century Gothic" w:hAnsi="Century Gothic"/>
          <w:b/>
        </w:rPr>
        <w:t xml:space="preserve">                                                                       </w:t>
      </w:r>
      <w:r w:rsidR="00F02229">
        <w:rPr>
          <w:rFonts w:ascii="Century Gothic" w:hAnsi="Century Gothic"/>
          <w:b/>
          <w:u w:val="single"/>
        </w:rPr>
        <w:t>Moussa DOUMBOUYA</w:t>
      </w:r>
    </w:p>
    <w:p w14:paraId="02029245" w14:textId="77777777" w:rsidR="00F94CBF" w:rsidRDefault="00F94CBF"/>
    <w:sectPr w:rsidR="00F94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40709"/>
    <w:multiLevelType w:val="hybridMultilevel"/>
    <w:tmpl w:val="300EE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89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43"/>
    <w:rsid w:val="000B5615"/>
    <w:rsid w:val="00424BFF"/>
    <w:rsid w:val="00601843"/>
    <w:rsid w:val="007B7968"/>
    <w:rsid w:val="008E752D"/>
    <w:rsid w:val="00BE3FE8"/>
    <w:rsid w:val="00C55AA2"/>
    <w:rsid w:val="00CA3ED6"/>
    <w:rsid w:val="00D240AC"/>
    <w:rsid w:val="00F02229"/>
    <w:rsid w:val="00F80253"/>
    <w:rsid w:val="00F94C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0A0E"/>
  <w15:chartTrackingRefBased/>
  <w15:docId w15:val="{785D05EC-20AE-48C9-B005-6B5F92B6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43"/>
    <w:pPr>
      <w:spacing w:after="0" w:line="240" w:lineRule="auto"/>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601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01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0184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0184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0184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0184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184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184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184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84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0184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0184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0184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0184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018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18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18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1843"/>
    <w:rPr>
      <w:rFonts w:eastAsiaTheme="majorEastAsia" w:cstheme="majorBidi"/>
      <w:color w:val="272727" w:themeColor="text1" w:themeTint="D8"/>
    </w:rPr>
  </w:style>
  <w:style w:type="paragraph" w:styleId="Titre">
    <w:name w:val="Title"/>
    <w:basedOn w:val="Normal"/>
    <w:next w:val="Normal"/>
    <w:link w:val="TitreCar"/>
    <w:uiPriority w:val="10"/>
    <w:qFormat/>
    <w:rsid w:val="0060184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18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18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18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1843"/>
    <w:pPr>
      <w:spacing w:before="160"/>
      <w:jc w:val="center"/>
    </w:pPr>
    <w:rPr>
      <w:i/>
      <w:iCs/>
      <w:color w:val="404040" w:themeColor="text1" w:themeTint="BF"/>
    </w:rPr>
  </w:style>
  <w:style w:type="character" w:customStyle="1" w:styleId="CitationCar">
    <w:name w:val="Citation Car"/>
    <w:basedOn w:val="Policepardfaut"/>
    <w:link w:val="Citation"/>
    <w:uiPriority w:val="29"/>
    <w:rsid w:val="00601843"/>
    <w:rPr>
      <w:i/>
      <w:iCs/>
      <w:color w:val="404040" w:themeColor="text1" w:themeTint="BF"/>
    </w:rPr>
  </w:style>
  <w:style w:type="paragraph" w:styleId="Paragraphedeliste">
    <w:name w:val="List Paragraph"/>
    <w:basedOn w:val="Normal"/>
    <w:uiPriority w:val="34"/>
    <w:qFormat/>
    <w:rsid w:val="00601843"/>
    <w:pPr>
      <w:ind w:left="720"/>
      <w:contextualSpacing/>
    </w:pPr>
  </w:style>
  <w:style w:type="character" w:styleId="Accentuationintense">
    <w:name w:val="Intense Emphasis"/>
    <w:basedOn w:val="Policepardfaut"/>
    <w:uiPriority w:val="21"/>
    <w:qFormat/>
    <w:rsid w:val="00601843"/>
    <w:rPr>
      <w:i/>
      <w:iCs/>
      <w:color w:val="2F5496" w:themeColor="accent1" w:themeShade="BF"/>
    </w:rPr>
  </w:style>
  <w:style w:type="paragraph" w:styleId="Citationintense">
    <w:name w:val="Intense Quote"/>
    <w:basedOn w:val="Normal"/>
    <w:next w:val="Normal"/>
    <w:link w:val="CitationintenseCar"/>
    <w:uiPriority w:val="30"/>
    <w:qFormat/>
    <w:rsid w:val="00601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01843"/>
    <w:rPr>
      <w:i/>
      <w:iCs/>
      <w:color w:val="2F5496" w:themeColor="accent1" w:themeShade="BF"/>
    </w:rPr>
  </w:style>
  <w:style w:type="character" w:styleId="Rfrenceintense">
    <w:name w:val="Intense Reference"/>
    <w:basedOn w:val="Policepardfaut"/>
    <w:uiPriority w:val="32"/>
    <w:qFormat/>
    <w:rsid w:val="00601843"/>
    <w:rPr>
      <w:b/>
      <w:bCs/>
      <w:smallCaps/>
      <w:color w:val="2F5496" w:themeColor="accent1" w:themeShade="BF"/>
      <w:spacing w:val="5"/>
    </w:rPr>
  </w:style>
  <w:style w:type="character" w:styleId="Lienhypertexte">
    <w:name w:val="Hyperlink"/>
    <w:uiPriority w:val="99"/>
    <w:rsid w:val="00601843"/>
    <w:rPr>
      <w:color w:val="0000FF"/>
      <w:u w:val="single"/>
    </w:rPr>
  </w:style>
  <w:style w:type="paragraph" w:customStyle="1" w:styleId="Sections">
    <w:name w:val="Sections"/>
    <w:basedOn w:val="Sous-titre"/>
    <w:qFormat/>
    <w:rsid w:val="00601843"/>
    <w:pPr>
      <w:numPr>
        <w:ilvl w:val="0"/>
      </w:numPr>
      <w:jc w:val="center"/>
    </w:pPr>
    <w:rPr>
      <w:rFonts w:eastAsia="Times New Roman" w:cs="Times New Roman"/>
      <w:b/>
      <w:color w:val="auto"/>
      <w:spacing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tondeguinee.sck.sa@gmail.com" TargetMode="External"/><Relationship Id="rId5" Type="http://schemas.openxmlformats.org/officeDocument/2006/relationships/hyperlink" Target="mailto:kstraore@magel.gov.g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644</Words>
  <Characters>3547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2026-02-05T15:46:00Z</cp:lastPrinted>
  <dcterms:created xsi:type="dcterms:W3CDTF">2026-02-04T14:23:00Z</dcterms:created>
  <dcterms:modified xsi:type="dcterms:W3CDTF">2026-02-05T19:40:00Z</dcterms:modified>
</cp:coreProperties>
</file>