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B76A0" w14:textId="77777777" w:rsidR="00EE0B53" w:rsidRDefault="00EE0B53" w:rsidP="00EE0B53">
      <w:pPr>
        <w:pStyle w:val="Sections"/>
        <w:rPr>
          <w:sz w:val="28"/>
          <w:szCs w:val="28"/>
        </w:rPr>
      </w:pPr>
      <w:bookmarkStart w:id="0" w:name="_Toc190666458"/>
      <w:bookmarkStart w:id="1" w:name="_Toc190767380"/>
      <w:bookmarkStart w:id="2" w:name="_Toc293912552"/>
    </w:p>
    <w:p w14:paraId="6157AB46" w14:textId="77777777" w:rsidR="00B56137" w:rsidRDefault="00B56137" w:rsidP="00B56137">
      <w:pPr>
        <w:pStyle w:val="Sections"/>
        <w:rPr>
          <w:sz w:val="28"/>
          <w:szCs w:val="28"/>
        </w:rPr>
      </w:pPr>
      <w:r w:rsidRPr="006026C6">
        <w:rPr>
          <w:noProof/>
          <w:sz w:val="28"/>
          <w:szCs w:val="28"/>
        </w:rPr>
        <w:drawing>
          <wp:anchor distT="0" distB="0" distL="114300" distR="114300" simplePos="0" relativeHeight="251659264" behindDoc="0" locked="0" layoutInCell="1" allowOverlap="0" wp14:anchorId="32CA04D0" wp14:editId="0B276506">
            <wp:simplePos x="0" y="0"/>
            <wp:positionH relativeFrom="column">
              <wp:posOffset>2627767</wp:posOffset>
            </wp:positionH>
            <wp:positionV relativeFrom="paragraph">
              <wp:posOffset>204470</wp:posOffset>
            </wp:positionV>
            <wp:extent cx="1013460" cy="826770"/>
            <wp:effectExtent l="0" t="0" r="0" b="0"/>
            <wp:wrapSquare wrapText="bothSides"/>
            <wp:docPr id="11"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7"/>
                    <a:srcRect/>
                    <a:stretch>
                      <a:fillRect/>
                    </a:stretch>
                  </pic:blipFill>
                  <pic:spPr bwMode="auto">
                    <a:xfrm>
                      <a:off x="0" y="0"/>
                      <a:ext cx="1013460" cy="826770"/>
                    </a:xfrm>
                    <a:prstGeom prst="rect">
                      <a:avLst/>
                    </a:prstGeom>
                    <a:noFill/>
                  </pic:spPr>
                </pic:pic>
              </a:graphicData>
            </a:graphic>
          </wp:anchor>
        </w:drawing>
      </w:r>
    </w:p>
    <w:p w14:paraId="7B527EA8" w14:textId="77777777" w:rsidR="00B56137" w:rsidRPr="006026C6" w:rsidRDefault="00B56137" w:rsidP="00B56137">
      <w:pPr>
        <w:spacing w:after="217" w:line="256" w:lineRule="auto"/>
        <w:rPr>
          <w:sz w:val="28"/>
          <w:szCs w:val="28"/>
        </w:rPr>
      </w:pPr>
    </w:p>
    <w:p w14:paraId="26D1F841" w14:textId="77777777" w:rsidR="00B56137" w:rsidRPr="006026C6" w:rsidRDefault="00B56137" w:rsidP="00B56137">
      <w:pPr>
        <w:spacing w:after="217" w:line="256" w:lineRule="auto"/>
        <w:ind w:left="404"/>
        <w:jc w:val="center"/>
        <w:rPr>
          <w:sz w:val="28"/>
          <w:szCs w:val="28"/>
        </w:rPr>
      </w:pPr>
    </w:p>
    <w:p w14:paraId="602DADF4" w14:textId="77777777" w:rsidR="00B56137" w:rsidRPr="006026C6" w:rsidRDefault="00B56137" w:rsidP="00B56137">
      <w:pPr>
        <w:spacing w:line="247" w:lineRule="auto"/>
        <w:ind w:left="273"/>
        <w:jc w:val="center"/>
        <w:rPr>
          <w:b/>
          <w:sz w:val="28"/>
          <w:szCs w:val="28"/>
        </w:rPr>
      </w:pPr>
    </w:p>
    <w:p w14:paraId="53774966" w14:textId="77777777" w:rsidR="00B56137" w:rsidRPr="006026C6" w:rsidRDefault="00B56137" w:rsidP="00B56137">
      <w:pPr>
        <w:tabs>
          <w:tab w:val="left" w:pos="5610"/>
        </w:tabs>
        <w:spacing w:line="247" w:lineRule="auto"/>
        <w:ind w:left="273"/>
        <w:jc w:val="center"/>
        <w:rPr>
          <w:rFonts w:eastAsia="Arial"/>
          <w:b/>
          <w:sz w:val="28"/>
          <w:szCs w:val="28"/>
        </w:rPr>
      </w:pPr>
      <w:r w:rsidRPr="006026C6">
        <w:rPr>
          <w:rFonts w:eastAsia="Arial"/>
          <w:b/>
          <w:spacing w:val="-1"/>
          <w:sz w:val="28"/>
          <w:szCs w:val="28"/>
        </w:rPr>
        <w:t>REPUB</w:t>
      </w:r>
      <w:r w:rsidRPr="006026C6">
        <w:rPr>
          <w:rFonts w:eastAsia="Arial"/>
          <w:b/>
          <w:sz w:val="28"/>
          <w:szCs w:val="28"/>
        </w:rPr>
        <w:t>LI</w:t>
      </w:r>
      <w:r w:rsidRPr="006026C6">
        <w:rPr>
          <w:rFonts w:eastAsia="Arial"/>
          <w:b/>
          <w:spacing w:val="1"/>
          <w:sz w:val="28"/>
          <w:szCs w:val="28"/>
        </w:rPr>
        <w:t>Q</w:t>
      </w:r>
      <w:r w:rsidRPr="006026C6">
        <w:rPr>
          <w:rFonts w:eastAsia="Arial"/>
          <w:b/>
          <w:spacing w:val="-1"/>
          <w:sz w:val="28"/>
          <w:szCs w:val="28"/>
        </w:rPr>
        <w:t>U</w:t>
      </w:r>
      <w:r w:rsidRPr="006026C6">
        <w:rPr>
          <w:rFonts w:eastAsia="Arial"/>
          <w:b/>
          <w:sz w:val="28"/>
          <w:szCs w:val="28"/>
        </w:rPr>
        <w:t xml:space="preserve">E </w:t>
      </w:r>
      <w:r w:rsidRPr="006026C6">
        <w:rPr>
          <w:rFonts w:eastAsia="Arial"/>
          <w:b/>
          <w:spacing w:val="-1"/>
          <w:sz w:val="28"/>
          <w:szCs w:val="28"/>
        </w:rPr>
        <w:t>D</w:t>
      </w:r>
      <w:r w:rsidRPr="006026C6">
        <w:rPr>
          <w:rFonts w:eastAsia="Arial"/>
          <w:b/>
          <w:sz w:val="28"/>
          <w:szCs w:val="28"/>
        </w:rPr>
        <w:t xml:space="preserve">E </w:t>
      </w:r>
      <w:r w:rsidRPr="006026C6">
        <w:rPr>
          <w:rFonts w:eastAsia="Arial"/>
          <w:b/>
          <w:spacing w:val="1"/>
          <w:sz w:val="28"/>
          <w:szCs w:val="28"/>
        </w:rPr>
        <w:t>G</w:t>
      </w:r>
      <w:r w:rsidRPr="006026C6">
        <w:rPr>
          <w:rFonts w:eastAsia="Arial"/>
          <w:b/>
          <w:spacing w:val="-1"/>
          <w:sz w:val="28"/>
          <w:szCs w:val="28"/>
        </w:rPr>
        <w:t>U</w:t>
      </w:r>
      <w:r w:rsidRPr="006026C6">
        <w:rPr>
          <w:rFonts w:eastAsia="Arial"/>
          <w:b/>
          <w:spacing w:val="1"/>
          <w:sz w:val="28"/>
          <w:szCs w:val="28"/>
        </w:rPr>
        <w:t>I</w:t>
      </w:r>
      <w:r w:rsidRPr="006026C6">
        <w:rPr>
          <w:rFonts w:eastAsia="Arial"/>
          <w:b/>
          <w:spacing w:val="-1"/>
          <w:sz w:val="28"/>
          <w:szCs w:val="28"/>
        </w:rPr>
        <w:t>NE</w:t>
      </w:r>
      <w:r w:rsidRPr="006026C6">
        <w:rPr>
          <w:rFonts w:eastAsia="Arial"/>
          <w:b/>
          <w:sz w:val="28"/>
          <w:szCs w:val="28"/>
        </w:rPr>
        <w:t>E</w:t>
      </w:r>
    </w:p>
    <w:p w14:paraId="2247AD24" w14:textId="77777777" w:rsidR="00B56137" w:rsidRPr="00AE0229" w:rsidRDefault="00B56137" w:rsidP="00B56137">
      <w:pPr>
        <w:tabs>
          <w:tab w:val="left" w:pos="5610"/>
        </w:tabs>
        <w:spacing w:line="247" w:lineRule="auto"/>
        <w:ind w:left="273"/>
        <w:jc w:val="center"/>
        <w:rPr>
          <w:b/>
          <w:sz w:val="28"/>
          <w:szCs w:val="28"/>
        </w:rPr>
      </w:pPr>
      <w:r w:rsidRPr="006026C6">
        <w:rPr>
          <w:rFonts w:eastAsia="Arial"/>
          <w:b/>
          <w:spacing w:val="1"/>
          <w:sz w:val="28"/>
          <w:szCs w:val="28"/>
        </w:rPr>
        <w:t>Mi</w:t>
      </w:r>
      <w:r w:rsidRPr="006026C6">
        <w:rPr>
          <w:rFonts w:eastAsia="Arial"/>
          <w:b/>
          <w:sz w:val="28"/>
          <w:szCs w:val="28"/>
        </w:rPr>
        <w:t>nis</w:t>
      </w:r>
      <w:r w:rsidRPr="006026C6">
        <w:rPr>
          <w:rFonts w:eastAsia="Arial"/>
          <w:b/>
          <w:spacing w:val="1"/>
          <w:sz w:val="28"/>
          <w:szCs w:val="28"/>
        </w:rPr>
        <w:t>t</w:t>
      </w:r>
      <w:r w:rsidRPr="006026C6">
        <w:rPr>
          <w:rFonts w:eastAsia="Arial"/>
          <w:b/>
          <w:sz w:val="28"/>
          <w:szCs w:val="28"/>
        </w:rPr>
        <w:t>ère de l’Elevage</w:t>
      </w:r>
    </w:p>
    <w:p w14:paraId="6EEEBEA1" w14:textId="77777777" w:rsidR="00EE0B53" w:rsidRDefault="00EE0B53" w:rsidP="00EE0B53">
      <w:pPr>
        <w:pStyle w:val="Sections"/>
        <w:jc w:val="left"/>
        <w:rPr>
          <w:sz w:val="28"/>
          <w:szCs w:val="28"/>
        </w:rPr>
      </w:pPr>
    </w:p>
    <w:p w14:paraId="093DBFF5" w14:textId="02C557CE" w:rsidR="00EE0B53" w:rsidRPr="005A09F1" w:rsidRDefault="00EE0B53" w:rsidP="005A09F1">
      <w:pPr>
        <w:pStyle w:val="Sections"/>
        <w:ind w:left="-1134" w:right="-705"/>
        <w:rPr>
          <w:rFonts w:ascii="Century Gothic" w:hAnsi="Century Gothic"/>
          <w:sz w:val="32"/>
          <w:szCs w:val="32"/>
        </w:rPr>
      </w:pPr>
      <w:r w:rsidRPr="005A09F1">
        <w:rPr>
          <w:rFonts w:ascii="Century Gothic" w:hAnsi="Century Gothic"/>
          <w:sz w:val="32"/>
          <w:szCs w:val="32"/>
        </w:rPr>
        <w:t>Avis d’Appel d’offres Internationale (AAOI)</w:t>
      </w:r>
      <w:bookmarkEnd w:id="0"/>
      <w:bookmarkEnd w:id="1"/>
      <w:bookmarkEnd w:id="2"/>
    </w:p>
    <w:p w14:paraId="20F9BDF9" w14:textId="77777777" w:rsidR="00EE0B53" w:rsidRPr="005A09F1" w:rsidRDefault="00EE0B53" w:rsidP="005A09F1">
      <w:pPr>
        <w:ind w:left="-1134" w:right="-705"/>
        <w:jc w:val="center"/>
        <w:rPr>
          <w:rFonts w:ascii="Century Gothic" w:hAnsi="Century Gothic"/>
          <w:b/>
          <w:sz w:val="32"/>
          <w:szCs w:val="32"/>
        </w:rPr>
      </w:pPr>
      <w:r w:rsidRPr="005A09F1">
        <w:rPr>
          <w:rFonts w:ascii="Century Gothic" w:hAnsi="Century Gothic"/>
          <w:b/>
          <w:sz w:val="32"/>
          <w:szCs w:val="32"/>
        </w:rPr>
        <w:t>Avis d’Appel d’Offres Internationale – Cas sans pré qualification</w:t>
      </w:r>
    </w:p>
    <w:p w14:paraId="31801215" w14:textId="4FF376B6" w:rsidR="00EE0B53" w:rsidRPr="00005809" w:rsidRDefault="00EE0B53" w:rsidP="005A09F1">
      <w:pPr>
        <w:pStyle w:val="Titre1"/>
        <w:ind w:left="-709" w:right="-279"/>
        <w:jc w:val="both"/>
        <w:rPr>
          <w:rFonts w:ascii="Century Gothic" w:eastAsia="Times New Roman" w:hAnsi="Century Gothic" w:cs="Times New Roman"/>
          <w:b/>
          <w:bCs/>
          <w:color w:val="auto"/>
          <w:sz w:val="24"/>
          <w:szCs w:val="24"/>
        </w:rPr>
      </w:pPr>
      <w:r w:rsidRPr="005A09F1">
        <w:rPr>
          <w:rFonts w:ascii="Century Gothic" w:eastAsia="Times New Roman" w:hAnsi="Century Gothic" w:cs="Times New Roman"/>
          <w:color w:val="auto"/>
          <w:sz w:val="24"/>
          <w:szCs w:val="24"/>
        </w:rPr>
        <w:t xml:space="preserve">Le Ministère de l’Elevage dans le cadre de l’exécution de son budget exercice 2026 des fonds et a l’intention d’utiliser une partie de ces fonds pour effectuer des paiements au titre du Marché de </w:t>
      </w:r>
      <w:r w:rsidRPr="00005809">
        <w:rPr>
          <w:rFonts w:ascii="Century Gothic" w:eastAsia="Times New Roman" w:hAnsi="Century Gothic" w:cs="Times New Roman"/>
          <w:b/>
          <w:bCs/>
          <w:color w:val="auto"/>
          <w:sz w:val="24"/>
          <w:szCs w:val="24"/>
        </w:rPr>
        <w:t>fourniture et livraison des vaccins et autres produits spécifiques en trois (3) lots</w:t>
      </w:r>
      <w:r w:rsidR="005A09F1" w:rsidRPr="00005809">
        <w:rPr>
          <w:rFonts w:ascii="Century Gothic" w:eastAsia="Times New Roman" w:hAnsi="Century Gothic" w:cs="Times New Roman"/>
          <w:b/>
          <w:bCs/>
          <w:color w:val="auto"/>
          <w:sz w:val="24"/>
          <w:szCs w:val="24"/>
        </w:rPr>
        <w:t xml:space="preserve"> </w:t>
      </w:r>
      <w:r w:rsidRPr="00005809">
        <w:rPr>
          <w:rFonts w:ascii="Century Gothic" w:eastAsia="Times New Roman" w:hAnsi="Century Gothic" w:cs="Times New Roman"/>
          <w:b/>
          <w:bCs/>
          <w:color w:val="auto"/>
          <w:sz w:val="24"/>
          <w:szCs w:val="24"/>
        </w:rPr>
        <w:t xml:space="preserve">: </w:t>
      </w:r>
    </w:p>
    <w:p w14:paraId="19427D08" w14:textId="77777777" w:rsidR="00EE0B53" w:rsidRPr="005A09F1" w:rsidRDefault="00EE0B53" w:rsidP="000C3B4C">
      <w:pPr>
        <w:pStyle w:val="Titre1"/>
        <w:spacing w:after="0"/>
        <w:ind w:left="-709" w:right="-279"/>
        <w:jc w:val="both"/>
        <w:rPr>
          <w:rFonts w:ascii="Century Gothic" w:eastAsia="Times New Roman" w:hAnsi="Century Gothic" w:cs="Times New Roman"/>
          <w:b/>
          <w:bCs/>
          <w:color w:val="auto"/>
          <w:sz w:val="24"/>
          <w:szCs w:val="24"/>
        </w:rPr>
      </w:pPr>
      <w:r w:rsidRPr="005A09F1">
        <w:rPr>
          <w:rFonts w:ascii="Century Gothic" w:eastAsia="Times New Roman" w:hAnsi="Century Gothic" w:cs="Times New Roman"/>
          <w:b/>
          <w:bCs/>
          <w:color w:val="auto"/>
          <w:sz w:val="24"/>
          <w:szCs w:val="24"/>
        </w:rPr>
        <w:t>Lot I : Acquisition de Vaccins et Matériels de vaccinations au compte de la Direction Nationale des Services Vétérinaires ;</w:t>
      </w:r>
    </w:p>
    <w:p w14:paraId="26C367BC" w14:textId="77777777" w:rsidR="00EE0B53" w:rsidRPr="005A09F1" w:rsidRDefault="00EE0B53" w:rsidP="000C3B4C">
      <w:pPr>
        <w:pStyle w:val="Titre1"/>
        <w:spacing w:after="0"/>
        <w:ind w:left="-709" w:right="-279"/>
        <w:jc w:val="both"/>
        <w:rPr>
          <w:rFonts w:ascii="Century Gothic" w:eastAsia="Times New Roman" w:hAnsi="Century Gothic" w:cs="Times New Roman"/>
          <w:b/>
          <w:bCs/>
          <w:color w:val="auto"/>
          <w:sz w:val="24"/>
          <w:szCs w:val="24"/>
        </w:rPr>
      </w:pPr>
      <w:r w:rsidRPr="005A09F1">
        <w:rPr>
          <w:rFonts w:ascii="Century Gothic" w:eastAsia="Times New Roman" w:hAnsi="Century Gothic" w:cs="Times New Roman"/>
          <w:b/>
          <w:bCs/>
          <w:color w:val="auto"/>
          <w:sz w:val="24"/>
          <w:szCs w:val="24"/>
        </w:rPr>
        <w:t>Lot II : Acquisition de Chaine de froid (Frigidaires et Congélateurs avec kits solaires) et kits de surveillance des maladies animales au compte de la Direction Nationale des Services Vétérinaires ;</w:t>
      </w:r>
    </w:p>
    <w:p w14:paraId="316F6A3E" w14:textId="77777777" w:rsidR="00EE0B53" w:rsidRPr="005A09F1" w:rsidRDefault="00EE0B53" w:rsidP="000C3B4C">
      <w:pPr>
        <w:pStyle w:val="Titre1"/>
        <w:spacing w:after="0"/>
        <w:ind w:left="-709" w:right="-279"/>
        <w:jc w:val="both"/>
        <w:rPr>
          <w:rFonts w:ascii="Century Gothic" w:eastAsia="Times New Roman" w:hAnsi="Century Gothic" w:cs="Times New Roman"/>
          <w:b/>
          <w:bCs/>
          <w:color w:val="auto"/>
          <w:sz w:val="24"/>
          <w:szCs w:val="24"/>
        </w:rPr>
      </w:pPr>
      <w:r w:rsidRPr="005A09F1">
        <w:rPr>
          <w:rFonts w:ascii="Century Gothic" w:eastAsia="Times New Roman" w:hAnsi="Century Gothic" w:cs="Times New Roman"/>
          <w:b/>
          <w:bCs/>
          <w:color w:val="auto"/>
          <w:sz w:val="24"/>
          <w:szCs w:val="24"/>
        </w:rPr>
        <w:t xml:space="preserve">Lot III : Acquisition de Matériels, Réactifs et de Consommables au compte des Laboratoires Vétérinaires régionaux. </w:t>
      </w:r>
    </w:p>
    <w:p w14:paraId="1A4BA94A" w14:textId="77777777" w:rsidR="00EE0B53" w:rsidRPr="000C3B4C" w:rsidRDefault="00EE0B53" w:rsidP="00AB3F6C">
      <w:pPr>
        <w:ind w:left="-709" w:right="-279"/>
        <w:jc w:val="both"/>
        <w:rPr>
          <w:rFonts w:ascii="Century Gothic" w:hAnsi="Century Gothic"/>
          <w:sz w:val="10"/>
          <w:szCs w:val="10"/>
        </w:rPr>
      </w:pPr>
    </w:p>
    <w:p w14:paraId="63AA2A69" w14:textId="3CF158C7" w:rsidR="00EE0B53" w:rsidRPr="005A09F1" w:rsidRDefault="00EE0B53" w:rsidP="00AB3F6C">
      <w:pPr>
        <w:pStyle w:val="Paragraphedeliste"/>
        <w:spacing w:after="200"/>
        <w:ind w:left="-709" w:right="-279"/>
        <w:jc w:val="both"/>
        <w:rPr>
          <w:rFonts w:ascii="Century Gothic" w:hAnsi="Century Gothic"/>
          <w:szCs w:val="24"/>
        </w:rPr>
      </w:pPr>
      <w:r w:rsidRPr="005A09F1">
        <w:rPr>
          <w:rFonts w:ascii="Century Gothic" w:hAnsi="Century Gothic"/>
          <w:b/>
          <w:bCs/>
          <w:szCs w:val="24"/>
        </w:rPr>
        <w:t>Les vaccins, matériels, réactifs</w:t>
      </w:r>
      <w:r w:rsidRPr="005A09F1">
        <w:rPr>
          <w:rFonts w:ascii="Century Gothic" w:hAnsi="Century Gothic"/>
          <w:szCs w:val="24"/>
        </w:rPr>
        <w:t xml:space="preserve"> </w:t>
      </w:r>
      <w:r w:rsidRPr="005A09F1">
        <w:rPr>
          <w:rFonts w:ascii="Century Gothic" w:hAnsi="Century Gothic"/>
          <w:b/>
          <w:bCs/>
          <w:szCs w:val="24"/>
        </w:rPr>
        <w:t>et équipements</w:t>
      </w:r>
      <w:r w:rsidRPr="005A09F1">
        <w:rPr>
          <w:rFonts w:ascii="Century Gothic" w:hAnsi="Century Gothic"/>
          <w:szCs w:val="24"/>
        </w:rPr>
        <w:t xml:space="preserve"> des différents lots seront fournis sur les sites indiqués par la Direction Nationale des Services Vétérinaires dans un délai de </w:t>
      </w:r>
      <w:r w:rsidR="00361515">
        <w:rPr>
          <w:rFonts w:ascii="Century Gothic" w:hAnsi="Century Gothic"/>
          <w:szCs w:val="24"/>
        </w:rPr>
        <w:t>soixante</w:t>
      </w:r>
      <w:r w:rsidRPr="005A09F1">
        <w:rPr>
          <w:rFonts w:ascii="Century Gothic" w:hAnsi="Century Gothic"/>
          <w:szCs w:val="24"/>
        </w:rPr>
        <w:t xml:space="preserve"> (</w:t>
      </w:r>
      <w:r w:rsidR="00361515">
        <w:rPr>
          <w:rFonts w:ascii="Century Gothic" w:hAnsi="Century Gothic"/>
          <w:szCs w:val="24"/>
        </w:rPr>
        <w:t>6</w:t>
      </w:r>
      <w:r w:rsidRPr="005A09F1">
        <w:rPr>
          <w:rFonts w:ascii="Century Gothic" w:hAnsi="Century Gothic"/>
          <w:szCs w:val="24"/>
        </w:rPr>
        <w:t>0) jours.</w:t>
      </w:r>
    </w:p>
    <w:p w14:paraId="1229F6A2" w14:textId="77777777" w:rsidR="00EE0B53" w:rsidRPr="005A09F1" w:rsidRDefault="00EE0B53" w:rsidP="00AB3F6C">
      <w:pPr>
        <w:spacing w:after="200"/>
        <w:ind w:left="-709" w:right="-279"/>
        <w:jc w:val="both"/>
        <w:rPr>
          <w:rFonts w:ascii="Century Gothic" w:hAnsi="Century Gothic"/>
          <w:szCs w:val="24"/>
        </w:rPr>
      </w:pPr>
      <w:r w:rsidRPr="005A09F1">
        <w:rPr>
          <w:rFonts w:ascii="Century Gothic" w:hAnsi="Century Gothic"/>
          <w:szCs w:val="24"/>
        </w:rPr>
        <w:t xml:space="preserve">Le Ministère de l’Elevage sollicite des offres sous plis fermé de la part des candidats éligibles et répondant aux qualifications requises pour fournir les produits spécifiques en trois (3) lots. Aucune offre par variante ne sera prise en compte. </w:t>
      </w:r>
    </w:p>
    <w:p w14:paraId="6EE75B52" w14:textId="77777777" w:rsidR="00EE0B53" w:rsidRPr="005A09F1" w:rsidRDefault="00EE0B53" w:rsidP="00AB3F6C">
      <w:pPr>
        <w:spacing w:after="200"/>
        <w:ind w:left="-709" w:right="-279"/>
        <w:jc w:val="both"/>
        <w:rPr>
          <w:rFonts w:ascii="Century Gothic" w:hAnsi="Century Gothic"/>
          <w:szCs w:val="24"/>
        </w:rPr>
      </w:pPr>
      <w:r w:rsidRPr="005A09F1">
        <w:rPr>
          <w:rFonts w:ascii="Century Gothic" w:hAnsi="Century Gothic"/>
          <w:szCs w:val="24"/>
        </w:rPr>
        <w:t xml:space="preserve">La participation à cet appel d'offre International ouvert tel que défini aux articles 23 et suivants du Code des marchés publics concerne tous les candidats éligibles et remplissant les conditions définies dans le présent Dossier d'Appel d'Offre International ouvert et qui ne sont pas concernés par un des cas d’inéligibilité prévus à l’article 64 du </w:t>
      </w:r>
      <w:r w:rsidRPr="005A09F1">
        <w:rPr>
          <w:rFonts w:ascii="Century Gothic" w:hAnsi="Century Gothic"/>
          <w:bCs/>
          <w:szCs w:val="24"/>
        </w:rPr>
        <w:t>Code des Marchés Publics.</w:t>
      </w:r>
    </w:p>
    <w:p w14:paraId="5FBA180F" w14:textId="091B0B31" w:rsidR="000C3B4C" w:rsidRPr="000C3B4C" w:rsidRDefault="00EE0B53" w:rsidP="000C3B4C">
      <w:pPr>
        <w:spacing w:after="200"/>
        <w:ind w:left="-709" w:right="-279"/>
        <w:jc w:val="both"/>
        <w:rPr>
          <w:rFonts w:ascii="Century Gothic" w:hAnsi="Century Gothic"/>
          <w:b/>
          <w:i/>
          <w:iCs/>
          <w:szCs w:val="24"/>
        </w:rPr>
      </w:pPr>
      <w:r w:rsidRPr="005A09F1">
        <w:rPr>
          <w:rFonts w:ascii="Century Gothic" w:hAnsi="Century Gothic"/>
          <w:szCs w:val="24"/>
        </w:rPr>
        <w:t>Les candidats intéressés peuvent obtenir des informations</w:t>
      </w:r>
      <w:bookmarkStart w:id="3" w:name="_Hlk174012905"/>
      <w:r w:rsidRPr="005A09F1">
        <w:rPr>
          <w:rFonts w:ascii="Century Gothic" w:hAnsi="Century Gothic"/>
          <w:szCs w:val="24"/>
        </w:rPr>
        <w:t xml:space="preserve"> à la Direction Nationale de</w:t>
      </w:r>
      <w:r w:rsidR="00AB3F6C" w:rsidRPr="005A09F1">
        <w:rPr>
          <w:rFonts w:ascii="Century Gothic" w:hAnsi="Century Gothic"/>
          <w:szCs w:val="24"/>
        </w:rPr>
        <w:t xml:space="preserve">s Services Vétérinaires (DNSV) </w:t>
      </w:r>
      <w:r w:rsidRPr="005A09F1">
        <w:rPr>
          <w:rFonts w:ascii="Century Gothic" w:hAnsi="Century Gothic"/>
          <w:szCs w:val="24"/>
        </w:rPr>
        <w:t>et de la Personne Responsable des Marchés Publics du Ministère de l’Elevage sis à Conakry BP 576, Conakry, Guinée Tél : + (224) : 623 28 81 46</w:t>
      </w:r>
      <w:r w:rsidRPr="005A09F1">
        <w:rPr>
          <w:rFonts w:ascii="Century Gothic" w:hAnsi="Century Gothic"/>
          <w:iCs/>
          <w:szCs w:val="24"/>
        </w:rPr>
        <w:t>, 62</w:t>
      </w:r>
      <w:r w:rsidR="00AB3F6C" w:rsidRPr="005A09F1">
        <w:rPr>
          <w:rFonts w:ascii="Century Gothic" w:hAnsi="Century Gothic"/>
          <w:iCs/>
          <w:szCs w:val="24"/>
        </w:rPr>
        <w:t>8 89 75 50</w:t>
      </w:r>
      <w:r w:rsidRPr="005A09F1">
        <w:rPr>
          <w:rFonts w:ascii="Century Gothic" w:hAnsi="Century Gothic"/>
          <w:iCs/>
          <w:szCs w:val="24"/>
        </w:rPr>
        <w:t xml:space="preserve"> </w:t>
      </w:r>
      <w:r w:rsidRPr="005A09F1">
        <w:rPr>
          <w:rFonts w:ascii="Century Gothic" w:hAnsi="Century Gothic"/>
          <w:b/>
          <w:i/>
          <w:iCs/>
          <w:szCs w:val="24"/>
        </w:rPr>
        <w:t xml:space="preserve">le </w:t>
      </w:r>
      <w:r w:rsidR="00005809">
        <w:rPr>
          <w:rFonts w:ascii="Century Gothic" w:hAnsi="Century Gothic"/>
          <w:b/>
          <w:i/>
          <w:iCs/>
          <w:szCs w:val="24"/>
        </w:rPr>
        <w:t>lundi 23 Février 2</w:t>
      </w:r>
      <w:r w:rsidRPr="005A09F1">
        <w:rPr>
          <w:rFonts w:ascii="Century Gothic" w:hAnsi="Century Gothic"/>
          <w:b/>
          <w:i/>
          <w:iCs/>
          <w:szCs w:val="24"/>
        </w:rPr>
        <w:t>026</w:t>
      </w:r>
      <w:r w:rsidRPr="005A09F1">
        <w:rPr>
          <w:rFonts w:ascii="Century Gothic" w:hAnsi="Century Gothic"/>
          <w:b/>
          <w:bCs/>
          <w:szCs w:val="24"/>
        </w:rPr>
        <w:t>.</w:t>
      </w:r>
      <w:r w:rsidRPr="005A09F1">
        <w:rPr>
          <w:rFonts w:ascii="Century Gothic" w:hAnsi="Century Gothic"/>
          <w:szCs w:val="24"/>
        </w:rPr>
        <w:t xml:space="preserve"> E-mail : </w:t>
      </w:r>
      <w:hyperlink r:id="rId8" w:history="1">
        <w:r w:rsidRPr="005A09F1">
          <w:rPr>
            <w:rStyle w:val="Lienhypertexte"/>
            <w:rFonts w:ascii="Century Gothic" w:hAnsi="Century Gothic"/>
            <w:szCs w:val="24"/>
          </w:rPr>
          <w:t>soulcam418@gmail.com</w:t>
        </w:r>
      </w:hyperlink>
      <w:r w:rsidRPr="005A09F1">
        <w:rPr>
          <w:rFonts w:ascii="Century Gothic" w:hAnsi="Century Gothic"/>
          <w:szCs w:val="24"/>
        </w:rPr>
        <w:t xml:space="preserve"> </w:t>
      </w:r>
      <w:hyperlink r:id="rId9" w:history="1">
        <w:r w:rsidR="00AB3F6C" w:rsidRPr="005A09F1">
          <w:rPr>
            <w:rStyle w:val="Lienhypertexte"/>
            <w:rFonts w:ascii="Century Gothic" w:hAnsi="Century Gothic"/>
            <w:szCs w:val="24"/>
          </w:rPr>
          <w:t>mohamedaicha2002@gmail.com</w:t>
        </w:r>
      </w:hyperlink>
      <w:r w:rsidR="00AB3F6C" w:rsidRPr="005A09F1">
        <w:rPr>
          <w:rFonts w:ascii="Century Gothic" w:hAnsi="Century Gothic"/>
          <w:szCs w:val="24"/>
        </w:rPr>
        <w:t xml:space="preserve"> </w:t>
      </w:r>
      <w:r w:rsidRPr="005A09F1">
        <w:rPr>
          <w:rFonts w:ascii="Century Gothic" w:hAnsi="Century Gothic"/>
          <w:szCs w:val="24"/>
        </w:rPr>
        <w:t xml:space="preserve">du </w:t>
      </w:r>
      <w:r w:rsidRPr="005A09F1">
        <w:rPr>
          <w:rFonts w:ascii="Century Gothic" w:hAnsi="Century Gothic"/>
          <w:b/>
          <w:bCs/>
          <w:szCs w:val="24"/>
        </w:rPr>
        <w:t>lundi au vendredi de 09 heures à 16 heures</w:t>
      </w:r>
      <w:r w:rsidRPr="005A09F1">
        <w:rPr>
          <w:rFonts w:ascii="Century Gothic" w:hAnsi="Century Gothic"/>
          <w:szCs w:val="24"/>
        </w:rPr>
        <w:t>.</w:t>
      </w:r>
      <w:bookmarkEnd w:id="3"/>
    </w:p>
    <w:p w14:paraId="7B5B769A" w14:textId="49DA88AC" w:rsidR="00EE0B53" w:rsidRPr="005A09F1" w:rsidRDefault="00EE0B53" w:rsidP="00AB3F6C">
      <w:pPr>
        <w:spacing w:after="200"/>
        <w:ind w:left="-709" w:right="-279"/>
        <w:jc w:val="both"/>
        <w:rPr>
          <w:rFonts w:ascii="Century Gothic" w:hAnsi="Century Gothic"/>
          <w:szCs w:val="24"/>
        </w:rPr>
      </w:pPr>
      <w:r w:rsidRPr="005A09F1">
        <w:rPr>
          <w:rFonts w:ascii="Century Gothic" w:hAnsi="Century Gothic"/>
          <w:szCs w:val="24"/>
        </w:rPr>
        <w:lastRenderedPageBreak/>
        <w:t>Les exigences en matière de qualification sont : (</w:t>
      </w:r>
      <w:r w:rsidRPr="005A09F1">
        <w:rPr>
          <w:rFonts w:ascii="Century Gothic" w:hAnsi="Century Gothic"/>
          <w:i/>
          <w:iCs/>
          <w:szCs w:val="24"/>
        </w:rPr>
        <w:t>Voir</w:t>
      </w:r>
      <w:r w:rsidRPr="005A09F1">
        <w:rPr>
          <w:rFonts w:ascii="Century Gothic" w:hAnsi="Century Gothic"/>
          <w:szCs w:val="24"/>
        </w:rPr>
        <w:t xml:space="preserve"> le document d’Appel d’offres pour les informations détaillées). </w:t>
      </w:r>
    </w:p>
    <w:p w14:paraId="7EE1DD17" w14:textId="77777777" w:rsidR="00EE0B53" w:rsidRPr="005A09F1" w:rsidRDefault="00EE0B53" w:rsidP="00AB3F6C">
      <w:pPr>
        <w:spacing w:after="200"/>
        <w:ind w:left="-709" w:right="-279"/>
        <w:jc w:val="both"/>
        <w:rPr>
          <w:rFonts w:ascii="Century Gothic" w:hAnsi="Century Gothic"/>
          <w:szCs w:val="24"/>
        </w:rPr>
      </w:pPr>
      <w:r w:rsidRPr="005A09F1">
        <w:rPr>
          <w:rFonts w:ascii="Century Gothic" w:hAnsi="Century Gothic"/>
          <w:szCs w:val="24"/>
        </w:rPr>
        <w:t>Une redevance de 0.60% sera payée à l’ARMP par le titulaire du marché dont les modalités sont définies par voie règlementaire.</w:t>
      </w:r>
    </w:p>
    <w:p w14:paraId="39EBB1F8" w14:textId="77777777" w:rsidR="00EE0B53" w:rsidRPr="005A09F1" w:rsidRDefault="00EE0B53" w:rsidP="00AB3F6C">
      <w:pPr>
        <w:spacing w:after="200"/>
        <w:ind w:left="-709" w:right="-279"/>
        <w:jc w:val="both"/>
        <w:rPr>
          <w:rFonts w:ascii="Century Gothic" w:hAnsi="Century Gothic"/>
          <w:szCs w:val="24"/>
        </w:rPr>
      </w:pPr>
      <w:r w:rsidRPr="005A09F1">
        <w:rPr>
          <w:rFonts w:ascii="Century Gothic" w:hAnsi="Century Gothic"/>
          <w:szCs w:val="24"/>
        </w:rPr>
        <w:t>0,30% du montant HT du marché sera payé à la DGCMP comme frais d’immatriculation.</w:t>
      </w:r>
    </w:p>
    <w:p w14:paraId="22173F40" w14:textId="77777777" w:rsidR="00EE0B53" w:rsidRPr="005A09F1" w:rsidRDefault="00EE0B53" w:rsidP="00AB3F6C">
      <w:pPr>
        <w:spacing w:after="200"/>
        <w:ind w:left="-709" w:right="-279"/>
        <w:jc w:val="both"/>
        <w:rPr>
          <w:rFonts w:ascii="Century Gothic" w:hAnsi="Century Gothic"/>
          <w:szCs w:val="24"/>
        </w:rPr>
      </w:pPr>
      <w:r w:rsidRPr="005A09F1">
        <w:rPr>
          <w:rFonts w:ascii="Century Gothic" w:hAnsi="Century Gothic"/>
          <w:szCs w:val="24"/>
        </w:rPr>
        <w:t xml:space="preserve">Les Soumissionnaires intéressés peuvent obtenir les Documents d’Appel d’Offres complets en </w:t>
      </w:r>
      <w:r w:rsidRPr="005A09F1">
        <w:rPr>
          <w:rFonts w:ascii="Century Gothic" w:hAnsi="Century Gothic"/>
          <w:i/>
          <w:iCs/>
          <w:szCs w:val="24"/>
        </w:rPr>
        <w:t>français</w:t>
      </w:r>
      <w:r w:rsidRPr="005A09F1">
        <w:rPr>
          <w:rFonts w:ascii="Century Gothic" w:hAnsi="Century Gothic"/>
          <w:szCs w:val="24"/>
        </w:rPr>
        <w:t xml:space="preserve"> à l’adresse mentionnée ci-dessus contre un paiement non remboursable d’un montant de </w:t>
      </w:r>
      <w:r w:rsidRPr="005A09F1">
        <w:rPr>
          <w:rFonts w:ascii="Century Gothic" w:hAnsi="Century Gothic"/>
          <w:b/>
          <w:szCs w:val="24"/>
        </w:rPr>
        <w:t>: Cinq millions Francs Guinéens (5 000 000 GNF).</w:t>
      </w:r>
      <w:r w:rsidRPr="005A09F1">
        <w:rPr>
          <w:rFonts w:ascii="Century Gothic" w:hAnsi="Century Gothic"/>
          <w:szCs w:val="24"/>
        </w:rPr>
        <w:t xml:space="preserve"> Le montant est réparti comme suit : </w:t>
      </w:r>
    </w:p>
    <w:p w14:paraId="70E25104" w14:textId="77777777" w:rsidR="00EE0B53" w:rsidRPr="005A09F1" w:rsidRDefault="00EE0B53" w:rsidP="005A09F1">
      <w:pPr>
        <w:numPr>
          <w:ilvl w:val="0"/>
          <w:numId w:val="1"/>
        </w:numPr>
        <w:ind w:right="-279"/>
        <w:jc w:val="both"/>
        <w:rPr>
          <w:rFonts w:ascii="Century Gothic" w:eastAsia="Calibri" w:hAnsi="Century Gothic"/>
          <w:szCs w:val="24"/>
        </w:rPr>
      </w:pPr>
      <w:r w:rsidRPr="005A09F1">
        <w:rPr>
          <w:rFonts w:ascii="Century Gothic" w:hAnsi="Century Gothic"/>
          <w:szCs w:val="24"/>
        </w:rPr>
        <w:t>50% au compte N°41 110 71 « Receveur central du trésor » ;</w:t>
      </w:r>
    </w:p>
    <w:p w14:paraId="3B08A2AC" w14:textId="77777777" w:rsidR="00DE0F62" w:rsidRPr="005A09F1" w:rsidRDefault="00EE0B53" w:rsidP="005A09F1">
      <w:pPr>
        <w:numPr>
          <w:ilvl w:val="0"/>
          <w:numId w:val="1"/>
        </w:numPr>
        <w:ind w:right="-279"/>
        <w:jc w:val="both"/>
        <w:rPr>
          <w:rFonts w:ascii="Century Gothic" w:eastAsia="Calibri" w:hAnsi="Century Gothic"/>
          <w:szCs w:val="24"/>
        </w:rPr>
      </w:pPr>
      <w:r w:rsidRPr="005A09F1">
        <w:rPr>
          <w:rFonts w:ascii="Century Gothic" w:hAnsi="Century Gothic"/>
          <w:szCs w:val="24"/>
        </w:rPr>
        <w:t>30% au compte N° 201 1000 407 de l’ARMP ouvert à la BCRG ;</w:t>
      </w:r>
    </w:p>
    <w:p w14:paraId="6391EA6E" w14:textId="15254127" w:rsidR="00DE0F62" w:rsidRPr="005A09F1" w:rsidRDefault="00DE0F62" w:rsidP="005A09F1">
      <w:pPr>
        <w:numPr>
          <w:ilvl w:val="0"/>
          <w:numId w:val="1"/>
        </w:numPr>
        <w:ind w:right="-279"/>
        <w:jc w:val="both"/>
        <w:rPr>
          <w:rFonts w:ascii="Century Gothic" w:eastAsia="Calibri" w:hAnsi="Century Gothic"/>
          <w:szCs w:val="24"/>
        </w:rPr>
      </w:pPr>
      <w:r w:rsidRPr="005A09F1">
        <w:rPr>
          <w:rFonts w:ascii="Century Gothic" w:hAnsi="Century Gothic"/>
          <w:szCs w:val="24"/>
        </w:rPr>
        <w:t xml:space="preserve">20 % au compte de l’autorité contractante par un versement au comptant </w:t>
      </w:r>
    </w:p>
    <w:p w14:paraId="6262DA8D" w14:textId="77777777" w:rsidR="005A09F1" w:rsidRPr="005A09F1" w:rsidRDefault="005A09F1" w:rsidP="005A09F1">
      <w:pPr>
        <w:ind w:left="720" w:right="-279"/>
        <w:jc w:val="both"/>
        <w:rPr>
          <w:rFonts w:ascii="Century Gothic" w:eastAsia="Calibri" w:hAnsi="Century Gothic"/>
          <w:szCs w:val="24"/>
        </w:rPr>
      </w:pPr>
    </w:p>
    <w:p w14:paraId="3809DF9B" w14:textId="77777777" w:rsidR="00EE0B53" w:rsidRPr="005A09F1" w:rsidRDefault="00EE0B53" w:rsidP="00AB3F6C">
      <w:pPr>
        <w:spacing w:after="200"/>
        <w:ind w:left="-709" w:right="-279"/>
        <w:jc w:val="both"/>
        <w:rPr>
          <w:rFonts w:ascii="Century Gothic" w:hAnsi="Century Gothic"/>
          <w:szCs w:val="24"/>
        </w:rPr>
      </w:pPr>
      <w:r w:rsidRPr="005A09F1">
        <w:rPr>
          <w:rFonts w:ascii="Century Gothic" w:hAnsi="Century Gothic"/>
          <w:szCs w:val="24"/>
        </w:rPr>
        <w:t>Le document d’Appel d’offres sera immédiatement remis aux candidats après présentation des reçus de versement.</w:t>
      </w:r>
    </w:p>
    <w:p w14:paraId="551C63FA" w14:textId="63051B9F" w:rsidR="00EE0B53" w:rsidRPr="005A09F1" w:rsidRDefault="00EE0B53" w:rsidP="00AB3F6C">
      <w:pPr>
        <w:spacing w:after="200"/>
        <w:ind w:left="-709" w:right="-279"/>
        <w:jc w:val="both"/>
        <w:rPr>
          <w:rFonts w:ascii="Century Gothic" w:hAnsi="Century Gothic"/>
          <w:szCs w:val="24"/>
        </w:rPr>
      </w:pPr>
      <w:r w:rsidRPr="005A09F1">
        <w:rPr>
          <w:rFonts w:ascii="Century Gothic" w:hAnsi="Century Gothic"/>
          <w:szCs w:val="24"/>
        </w:rPr>
        <w:t xml:space="preserve">Les offres qui ne parviendront pas aux heures et date ci-dessus indiquées, seront purement et simplement rejetées et retournées aux frais des soumissionnaires concernés sans être ouvertes. Les offres seront ouvertes le cas échéant, en présence d’un observateur </w:t>
      </w:r>
      <w:r w:rsidR="00AB3F6C" w:rsidRPr="005A09F1">
        <w:rPr>
          <w:rFonts w:ascii="Century Gothic" w:hAnsi="Century Gothic"/>
          <w:szCs w:val="24"/>
        </w:rPr>
        <w:t xml:space="preserve">indépendant </w:t>
      </w:r>
      <w:r w:rsidRPr="005A09F1">
        <w:rPr>
          <w:rFonts w:ascii="Century Gothic" w:hAnsi="Century Gothic"/>
          <w:szCs w:val="24"/>
        </w:rPr>
        <w:t xml:space="preserve">et des représentants des Soumissionnaires qui désirent participer à l’ouverture des plis et, à l’adresse sis à  </w:t>
      </w:r>
      <w:r w:rsidRPr="005A09F1">
        <w:rPr>
          <w:rFonts w:ascii="Century Gothic" w:hAnsi="Century Gothic"/>
          <w:iCs/>
          <w:szCs w:val="24"/>
        </w:rPr>
        <w:t>Kaloum -</w:t>
      </w:r>
      <w:proofErr w:type="spellStart"/>
      <w:r w:rsidRPr="005A09F1">
        <w:rPr>
          <w:rFonts w:ascii="Century Gothic" w:hAnsi="Century Gothic"/>
          <w:iCs/>
          <w:szCs w:val="24"/>
        </w:rPr>
        <w:t>Almamya</w:t>
      </w:r>
      <w:proofErr w:type="spellEnd"/>
      <w:r w:rsidRPr="005A09F1">
        <w:rPr>
          <w:rFonts w:ascii="Century Gothic" w:hAnsi="Century Gothic"/>
          <w:iCs/>
          <w:szCs w:val="24"/>
        </w:rPr>
        <w:t xml:space="preserve"> à la salle de réunion du Ministère de l’Elevage, numéro de téléphone </w:t>
      </w:r>
      <w:r w:rsidRPr="005A09F1">
        <w:rPr>
          <w:rFonts w:ascii="Century Gothic" w:hAnsi="Century Gothic"/>
          <w:szCs w:val="24"/>
        </w:rPr>
        <w:t>623288146</w:t>
      </w:r>
      <w:r w:rsidRPr="005A09F1">
        <w:rPr>
          <w:rFonts w:ascii="Century Gothic" w:hAnsi="Century Gothic"/>
          <w:i/>
          <w:iCs/>
          <w:szCs w:val="24"/>
        </w:rPr>
        <w:t xml:space="preserve">, </w:t>
      </w:r>
      <w:hyperlink r:id="rId10" w:history="1">
        <w:r w:rsidRPr="005A09F1">
          <w:rPr>
            <w:rStyle w:val="Lienhypertexte"/>
            <w:rFonts w:ascii="Century Gothic" w:hAnsi="Century Gothic"/>
            <w:szCs w:val="24"/>
          </w:rPr>
          <w:t>soulcam418@gmail.com</w:t>
        </w:r>
      </w:hyperlink>
      <w:r w:rsidRPr="005A09F1">
        <w:rPr>
          <w:rFonts w:ascii="Century Gothic" w:hAnsi="Century Gothic"/>
          <w:szCs w:val="24"/>
        </w:rPr>
        <w:t xml:space="preserve">  </w:t>
      </w:r>
      <w:hyperlink r:id="rId11" w:history="1">
        <w:hyperlink r:id="rId12" w:history="1">
          <w:r w:rsidR="00AB3F6C" w:rsidRPr="005A09F1">
            <w:rPr>
              <w:rStyle w:val="Lienhypertexte"/>
              <w:rFonts w:ascii="Century Gothic" w:hAnsi="Century Gothic"/>
              <w:szCs w:val="24"/>
            </w:rPr>
            <w:t>mohamedaicha2002@gmail.com</w:t>
          </w:r>
        </w:hyperlink>
      </w:hyperlink>
      <w:r w:rsidRPr="005A09F1">
        <w:rPr>
          <w:rFonts w:ascii="Century Gothic" w:hAnsi="Century Gothic"/>
          <w:szCs w:val="24"/>
        </w:rPr>
        <w:t xml:space="preserve"> au plus tard le </w:t>
      </w:r>
      <w:r w:rsidR="00005809">
        <w:rPr>
          <w:rFonts w:ascii="Century Gothic" w:hAnsi="Century Gothic"/>
          <w:szCs w:val="24"/>
        </w:rPr>
        <w:t xml:space="preserve"> </w:t>
      </w:r>
      <w:r w:rsidR="00005809">
        <w:rPr>
          <w:rFonts w:ascii="Century Gothic" w:hAnsi="Century Gothic"/>
          <w:b/>
          <w:bCs/>
          <w:szCs w:val="24"/>
        </w:rPr>
        <w:t xml:space="preserve">Mardi 7 avril </w:t>
      </w:r>
      <w:r w:rsidRPr="005A09F1">
        <w:rPr>
          <w:rFonts w:ascii="Century Gothic" w:hAnsi="Century Gothic"/>
          <w:b/>
          <w:bCs/>
          <w:szCs w:val="24"/>
        </w:rPr>
        <w:t xml:space="preserve"> 2026 </w:t>
      </w:r>
      <w:r w:rsidRPr="005A09F1">
        <w:rPr>
          <w:rFonts w:ascii="Century Gothic" w:hAnsi="Century Gothic"/>
          <w:szCs w:val="24"/>
        </w:rPr>
        <w:t xml:space="preserve">à </w:t>
      </w:r>
      <w:r w:rsidRPr="005A09F1">
        <w:rPr>
          <w:rFonts w:ascii="Century Gothic" w:hAnsi="Century Gothic"/>
          <w:b/>
          <w:bCs/>
          <w:szCs w:val="24"/>
        </w:rPr>
        <w:t>10 heures 30 minutes</w:t>
      </w:r>
      <w:r w:rsidRPr="005A09F1">
        <w:rPr>
          <w:rFonts w:ascii="Century Gothic" w:hAnsi="Century Gothic"/>
          <w:szCs w:val="24"/>
        </w:rPr>
        <w:t>.</w:t>
      </w:r>
    </w:p>
    <w:p w14:paraId="3D3446C3" w14:textId="11F8E8B0" w:rsidR="00EE0B53" w:rsidRPr="005A09F1" w:rsidRDefault="00EE0B53" w:rsidP="00AB3F6C">
      <w:pPr>
        <w:spacing w:after="200"/>
        <w:ind w:left="-709" w:right="-279"/>
        <w:jc w:val="both"/>
        <w:rPr>
          <w:rFonts w:ascii="Century Gothic" w:hAnsi="Century Gothic"/>
          <w:b/>
          <w:i/>
          <w:iCs/>
          <w:szCs w:val="24"/>
        </w:rPr>
      </w:pPr>
      <w:r w:rsidRPr="005A09F1">
        <w:rPr>
          <w:rFonts w:ascii="Century Gothic" w:hAnsi="Century Gothic"/>
          <w:szCs w:val="24"/>
        </w:rPr>
        <w:t>Les offres seront ouvertes le cas échéant, en présence d’un observateur indépendant et des représentants des soumissionnaires qui désirent participer à l’ouverture des plis et, à l’adresse suivante</w:t>
      </w:r>
      <w:r w:rsidRPr="005A09F1">
        <w:rPr>
          <w:rFonts w:ascii="Century Gothic" w:hAnsi="Century Gothic"/>
          <w:i/>
          <w:iCs/>
          <w:szCs w:val="24"/>
        </w:rPr>
        <w:t xml:space="preserve"> : </w:t>
      </w:r>
      <w:r w:rsidRPr="005A09F1">
        <w:rPr>
          <w:rFonts w:ascii="Century Gothic" w:hAnsi="Century Gothic"/>
          <w:iCs/>
          <w:szCs w:val="24"/>
        </w:rPr>
        <w:t>Guinée-Conakry-Commune de Kaloum -</w:t>
      </w:r>
      <w:proofErr w:type="spellStart"/>
      <w:r w:rsidRPr="005A09F1">
        <w:rPr>
          <w:rFonts w:ascii="Century Gothic" w:hAnsi="Century Gothic"/>
          <w:iCs/>
          <w:szCs w:val="24"/>
        </w:rPr>
        <w:t>Almamya</w:t>
      </w:r>
      <w:proofErr w:type="spellEnd"/>
      <w:r w:rsidRPr="005A09F1">
        <w:rPr>
          <w:rFonts w:ascii="Century Gothic" w:hAnsi="Century Gothic"/>
          <w:iCs/>
          <w:szCs w:val="24"/>
        </w:rPr>
        <w:t xml:space="preserve"> à la salle de réunion du Ministère de l’Elevage</w:t>
      </w:r>
      <w:r w:rsidRPr="005A09F1">
        <w:rPr>
          <w:rFonts w:ascii="Century Gothic" w:hAnsi="Century Gothic"/>
          <w:i/>
          <w:iCs/>
          <w:szCs w:val="24"/>
        </w:rPr>
        <w:t xml:space="preserve">, </w:t>
      </w:r>
      <w:r w:rsidRPr="005A09F1">
        <w:rPr>
          <w:rFonts w:ascii="Century Gothic" w:hAnsi="Century Gothic"/>
          <w:b/>
          <w:i/>
          <w:iCs/>
          <w:szCs w:val="24"/>
        </w:rPr>
        <w:t>le</w:t>
      </w:r>
      <w:r w:rsidR="00005809">
        <w:rPr>
          <w:rFonts w:ascii="Century Gothic" w:hAnsi="Century Gothic"/>
          <w:b/>
          <w:i/>
          <w:iCs/>
          <w:szCs w:val="24"/>
        </w:rPr>
        <w:t xml:space="preserve"> Mardi 7 avril </w:t>
      </w:r>
      <w:r w:rsidRPr="005A09F1">
        <w:rPr>
          <w:rFonts w:ascii="Century Gothic" w:hAnsi="Century Gothic"/>
          <w:b/>
          <w:i/>
          <w:iCs/>
          <w:szCs w:val="24"/>
        </w:rPr>
        <w:t>2026 à 11H</w:t>
      </w:r>
      <w:r w:rsidR="00005809">
        <w:rPr>
          <w:rFonts w:ascii="Century Gothic" w:hAnsi="Century Gothic"/>
          <w:b/>
          <w:i/>
          <w:iCs/>
          <w:szCs w:val="24"/>
        </w:rPr>
        <w:t xml:space="preserve"> 00</w:t>
      </w:r>
      <w:r w:rsidRPr="005A09F1">
        <w:rPr>
          <w:rFonts w:ascii="Century Gothic" w:hAnsi="Century Gothic"/>
          <w:b/>
          <w:i/>
          <w:iCs/>
          <w:szCs w:val="24"/>
        </w:rPr>
        <w:t>.</w:t>
      </w:r>
    </w:p>
    <w:p w14:paraId="7E324B55" w14:textId="77777777" w:rsidR="00EE0B53" w:rsidRPr="005A09F1" w:rsidRDefault="00EE0B53" w:rsidP="00AB3F6C">
      <w:pPr>
        <w:spacing w:after="200"/>
        <w:ind w:left="-709" w:right="-279"/>
        <w:jc w:val="both"/>
        <w:rPr>
          <w:rFonts w:ascii="Century Gothic" w:hAnsi="Century Gothic"/>
          <w:szCs w:val="24"/>
        </w:rPr>
      </w:pPr>
      <w:r w:rsidRPr="005A09F1">
        <w:rPr>
          <w:rFonts w:ascii="Century Gothic" w:hAnsi="Century Gothic"/>
          <w:szCs w:val="24"/>
        </w:rPr>
        <w:t xml:space="preserve">Les offres doivent comprendre </w:t>
      </w:r>
      <w:r w:rsidRPr="005A09F1">
        <w:rPr>
          <w:rFonts w:ascii="Century Gothic" w:hAnsi="Century Gothic"/>
          <w:iCs/>
          <w:szCs w:val="24"/>
        </w:rPr>
        <w:t>une garantie de soumission</w:t>
      </w:r>
      <w:r w:rsidRPr="005A09F1">
        <w:rPr>
          <w:rFonts w:ascii="Century Gothic" w:hAnsi="Century Gothic"/>
          <w:szCs w:val="24"/>
        </w:rPr>
        <w:t xml:space="preserve"> d’un montant de Cent vingt </w:t>
      </w:r>
      <w:r w:rsidRPr="005A09F1">
        <w:rPr>
          <w:rFonts w:ascii="Century Gothic" w:hAnsi="Century Gothic"/>
          <w:b/>
          <w:bCs/>
          <w:szCs w:val="24"/>
        </w:rPr>
        <w:t>120 000 000</w:t>
      </w:r>
      <w:r w:rsidRPr="005A09F1">
        <w:rPr>
          <w:rFonts w:ascii="Century Gothic" w:hAnsi="Century Gothic"/>
          <w:b/>
          <w:szCs w:val="24"/>
        </w:rPr>
        <w:t xml:space="preserve"> GNF/lot</w:t>
      </w:r>
      <w:r w:rsidRPr="005A09F1">
        <w:rPr>
          <w:rFonts w:ascii="Century Gothic" w:hAnsi="Century Gothic"/>
          <w:szCs w:val="24"/>
        </w:rPr>
        <w:t>. Cette garantie demeurera valide pendant trente (30) jours après l’expiration de la durée de validité de l’offre.</w:t>
      </w:r>
    </w:p>
    <w:p w14:paraId="6A80FFAD" w14:textId="150371BF" w:rsidR="00EE0B53" w:rsidRPr="005A09F1" w:rsidRDefault="00EE0B53" w:rsidP="00AB3F6C">
      <w:pPr>
        <w:spacing w:after="200"/>
        <w:ind w:left="-709" w:right="-279"/>
        <w:jc w:val="both"/>
        <w:rPr>
          <w:rFonts w:ascii="Century Gothic" w:hAnsi="Century Gothic"/>
          <w:szCs w:val="24"/>
        </w:rPr>
      </w:pPr>
      <w:r w:rsidRPr="005A09F1">
        <w:rPr>
          <w:rFonts w:ascii="Century Gothic" w:hAnsi="Century Gothic"/>
          <w:iCs/>
          <w:szCs w:val="24"/>
        </w:rPr>
        <w:t xml:space="preserve">Les offres devront demeurer valides pendant une durée de </w:t>
      </w:r>
      <w:r w:rsidR="005A09F1" w:rsidRPr="00005809">
        <w:rPr>
          <w:rFonts w:ascii="Century Gothic" w:hAnsi="Century Gothic"/>
          <w:b/>
          <w:bCs/>
          <w:iCs/>
          <w:szCs w:val="24"/>
        </w:rPr>
        <w:t xml:space="preserve">cent vingt </w:t>
      </w:r>
      <w:r w:rsidRPr="00005809">
        <w:rPr>
          <w:rFonts w:ascii="Century Gothic" w:hAnsi="Century Gothic"/>
          <w:b/>
          <w:bCs/>
          <w:iCs/>
          <w:szCs w:val="24"/>
        </w:rPr>
        <w:t>(</w:t>
      </w:r>
      <w:r w:rsidR="005A09F1" w:rsidRPr="00005809">
        <w:rPr>
          <w:rFonts w:ascii="Century Gothic" w:hAnsi="Century Gothic"/>
          <w:b/>
          <w:bCs/>
          <w:iCs/>
          <w:szCs w:val="24"/>
        </w:rPr>
        <w:t>120</w:t>
      </w:r>
      <w:r w:rsidRPr="00005809">
        <w:rPr>
          <w:rFonts w:ascii="Century Gothic" w:hAnsi="Century Gothic"/>
          <w:b/>
          <w:bCs/>
          <w:iCs/>
          <w:szCs w:val="24"/>
        </w:rPr>
        <w:t>) jours</w:t>
      </w:r>
      <w:r w:rsidRPr="005A09F1">
        <w:rPr>
          <w:rFonts w:ascii="Century Gothic" w:hAnsi="Century Gothic"/>
          <w:iCs/>
          <w:szCs w:val="24"/>
        </w:rPr>
        <w:t xml:space="preserve"> à compter de la date limite de soumission.</w:t>
      </w:r>
    </w:p>
    <w:p w14:paraId="71DD7D2A" w14:textId="77777777" w:rsidR="00EE0B53" w:rsidRPr="005A09F1" w:rsidRDefault="00EE0B53" w:rsidP="00AB3F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right="-279"/>
        <w:jc w:val="both"/>
        <w:rPr>
          <w:rFonts w:ascii="Century Gothic" w:hAnsi="Century Gothic"/>
          <w:b/>
          <w:szCs w:val="24"/>
        </w:rPr>
      </w:pPr>
      <w:r w:rsidRPr="005A09F1">
        <w:rPr>
          <w:rFonts w:ascii="Century Gothic" w:hAnsi="Century Gothic"/>
          <w:szCs w:val="24"/>
        </w:rPr>
        <w:t>.</w:t>
      </w:r>
    </w:p>
    <w:p w14:paraId="5917B4FC" w14:textId="315EF915" w:rsidR="00EE0B53" w:rsidRPr="005A09F1" w:rsidRDefault="00EE0B53" w:rsidP="00AB3F6C">
      <w:pPr>
        <w:spacing w:after="200"/>
        <w:ind w:left="4320" w:right="-279"/>
        <w:jc w:val="center"/>
        <w:rPr>
          <w:rFonts w:ascii="Century Gothic" w:hAnsi="Century Gothic"/>
          <w:szCs w:val="24"/>
        </w:rPr>
      </w:pPr>
      <w:r w:rsidRPr="005A09F1">
        <w:rPr>
          <w:rFonts w:ascii="Century Gothic" w:hAnsi="Century Gothic"/>
          <w:szCs w:val="24"/>
        </w:rPr>
        <w:t xml:space="preserve">Le Ministre </w:t>
      </w:r>
      <w:r w:rsidR="00AB3F6C" w:rsidRPr="005A09F1">
        <w:rPr>
          <w:rFonts w:ascii="Century Gothic" w:hAnsi="Century Gothic"/>
          <w:szCs w:val="24"/>
        </w:rPr>
        <w:t>de l’Elevage</w:t>
      </w:r>
    </w:p>
    <w:p w14:paraId="21AA2649" w14:textId="77777777" w:rsidR="00AB3F6C" w:rsidRPr="005A09F1" w:rsidRDefault="00AB3F6C" w:rsidP="005A09F1">
      <w:pPr>
        <w:ind w:left="720" w:right="-279"/>
        <w:jc w:val="both"/>
        <w:rPr>
          <w:rFonts w:ascii="Century Gothic" w:hAnsi="Century Gothic"/>
          <w:b/>
          <w:szCs w:val="24"/>
          <w:u w:val="single"/>
        </w:rPr>
      </w:pPr>
    </w:p>
    <w:p w14:paraId="5C89EAD5" w14:textId="77777777" w:rsidR="00AB3F6C" w:rsidRDefault="00AB3F6C" w:rsidP="00AB3F6C">
      <w:pPr>
        <w:ind w:left="-709" w:right="-279"/>
        <w:jc w:val="both"/>
        <w:rPr>
          <w:rFonts w:ascii="Century Gothic" w:hAnsi="Century Gothic"/>
          <w:b/>
          <w:szCs w:val="24"/>
          <w:u w:val="single"/>
        </w:rPr>
      </w:pPr>
    </w:p>
    <w:p w14:paraId="65EA45EF" w14:textId="77777777" w:rsidR="005A09F1" w:rsidRPr="005A09F1" w:rsidRDefault="005A09F1" w:rsidP="00AB3F6C">
      <w:pPr>
        <w:ind w:left="-709" w:right="-279"/>
        <w:jc w:val="both"/>
        <w:rPr>
          <w:rFonts w:ascii="Century Gothic" w:hAnsi="Century Gothic"/>
          <w:b/>
          <w:szCs w:val="24"/>
          <w:u w:val="single"/>
        </w:rPr>
      </w:pPr>
    </w:p>
    <w:p w14:paraId="31480E02" w14:textId="77777777" w:rsidR="00AB3F6C" w:rsidRPr="005A09F1" w:rsidRDefault="00AB3F6C" w:rsidP="00AB3F6C">
      <w:pPr>
        <w:ind w:left="-709" w:right="-279"/>
        <w:jc w:val="both"/>
        <w:rPr>
          <w:rFonts w:ascii="Century Gothic" w:hAnsi="Century Gothic"/>
          <w:b/>
          <w:szCs w:val="24"/>
          <w:u w:val="single"/>
        </w:rPr>
      </w:pPr>
    </w:p>
    <w:p w14:paraId="5184F741" w14:textId="1E0A57D4" w:rsidR="00EE0B53" w:rsidRPr="005A09F1" w:rsidRDefault="00EE0B53" w:rsidP="005A09F1">
      <w:pPr>
        <w:tabs>
          <w:tab w:val="left" w:pos="6990"/>
        </w:tabs>
        <w:ind w:left="720" w:right="-279"/>
        <w:jc w:val="both"/>
        <w:rPr>
          <w:rFonts w:ascii="Century Gothic" w:hAnsi="Century Gothic"/>
          <w:b/>
          <w:szCs w:val="24"/>
          <w:u w:val="single"/>
        </w:rPr>
      </w:pPr>
      <w:r w:rsidRPr="005A09F1">
        <w:rPr>
          <w:rFonts w:ascii="Century Gothic" w:hAnsi="Century Gothic"/>
          <w:b/>
          <w:szCs w:val="24"/>
        </w:rPr>
        <w:t xml:space="preserve">                                                                                    </w:t>
      </w:r>
      <w:r w:rsidRPr="005A09F1">
        <w:rPr>
          <w:rFonts w:ascii="Century Gothic" w:hAnsi="Century Gothic"/>
          <w:b/>
          <w:szCs w:val="24"/>
          <w:u w:val="single"/>
        </w:rPr>
        <w:t>Felix LAMAH</w:t>
      </w:r>
    </w:p>
    <w:p w14:paraId="0D8CE262" w14:textId="77777777" w:rsidR="00EE0B53" w:rsidRPr="005A09F1" w:rsidRDefault="00EE0B53" w:rsidP="005A09F1">
      <w:pPr>
        <w:ind w:left="720" w:right="-279"/>
        <w:jc w:val="both"/>
        <w:rPr>
          <w:rFonts w:ascii="Century Gothic" w:hAnsi="Century Gothic"/>
          <w:szCs w:val="24"/>
        </w:rPr>
      </w:pPr>
    </w:p>
    <w:sectPr w:rsidR="00EE0B53" w:rsidRPr="005A09F1" w:rsidSect="000C3B4C">
      <w:pgSz w:w="12240" w:h="15840"/>
      <w:pgMar w:top="426"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3F67C" w14:textId="77777777" w:rsidR="00EF36C4" w:rsidRDefault="00EF36C4" w:rsidP="00EE0B53">
      <w:r>
        <w:separator/>
      </w:r>
    </w:p>
  </w:endnote>
  <w:endnote w:type="continuationSeparator" w:id="0">
    <w:p w14:paraId="1D44F129" w14:textId="77777777" w:rsidR="00EF36C4" w:rsidRDefault="00EF36C4" w:rsidP="00EE0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F903F" w14:textId="77777777" w:rsidR="00EF36C4" w:rsidRDefault="00EF36C4" w:rsidP="00EE0B53">
      <w:r>
        <w:separator/>
      </w:r>
    </w:p>
  </w:footnote>
  <w:footnote w:type="continuationSeparator" w:id="0">
    <w:p w14:paraId="17CD4A19" w14:textId="77777777" w:rsidR="00EF36C4" w:rsidRDefault="00EF36C4" w:rsidP="00EE0B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540709"/>
    <w:multiLevelType w:val="hybridMultilevel"/>
    <w:tmpl w:val="171C127E"/>
    <w:lvl w:ilvl="0" w:tplc="040C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4314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B53"/>
    <w:rsid w:val="00005809"/>
    <w:rsid w:val="00067A85"/>
    <w:rsid w:val="000C3B4C"/>
    <w:rsid w:val="00361515"/>
    <w:rsid w:val="00470A23"/>
    <w:rsid w:val="005A09F1"/>
    <w:rsid w:val="009F6A78"/>
    <w:rsid w:val="00AB3F6C"/>
    <w:rsid w:val="00B56137"/>
    <w:rsid w:val="00B63D9A"/>
    <w:rsid w:val="00C12165"/>
    <w:rsid w:val="00DC4367"/>
    <w:rsid w:val="00DE0F62"/>
    <w:rsid w:val="00E36954"/>
    <w:rsid w:val="00EE0B53"/>
    <w:rsid w:val="00EF36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F28DD"/>
  <w15:chartTrackingRefBased/>
  <w15:docId w15:val="{8BD3D569-4DF4-4E9A-A402-C60A182F9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B53"/>
    <w:pPr>
      <w:spacing w:after="0" w:line="240" w:lineRule="auto"/>
    </w:pPr>
    <w:rPr>
      <w:rFonts w:ascii="Times New Roman" w:eastAsia="Times New Roman" w:hAnsi="Times New Roman" w:cs="Times New Roman"/>
      <w:kern w:val="0"/>
      <w:szCs w:val="20"/>
      <w:lang w:val="fr-FR" w:eastAsia="fr-FR"/>
      <w14:ligatures w14:val="none"/>
    </w:rPr>
  </w:style>
  <w:style w:type="paragraph" w:styleId="Titre1">
    <w:name w:val="heading 1"/>
    <w:aliases w:val="Document Header1"/>
    <w:basedOn w:val="Normal"/>
    <w:next w:val="Normal"/>
    <w:link w:val="Titre1Car"/>
    <w:qFormat/>
    <w:rsid w:val="00EE0B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E0B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E0B5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E0B5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E0B5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E0B53"/>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E0B53"/>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E0B53"/>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E0B53"/>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rsid w:val="00EE0B5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E0B5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E0B5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E0B5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E0B5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E0B5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E0B5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E0B5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E0B53"/>
    <w:rPr>
      <w:rFonts w:eastAsiaTheme="majorEastAsia" w:cstheme="majorBidi"/>
      <w:color w:val="272727" w:themeColor="text1" w:themeTint="D8"/>
    </w:rPr>
  </w:style>
  <w:style w:type="paragraph" w:styleId="Titre">
    <w:name w:val="Title"/>
    <w:basedOn w:val="Normal"/>
    <w:next w:val="Normal"/>
    <w:link w:val="TitreCar"/>
    <w:uiPriority w:val="10"/>
    <w:qFormat/>
    <w:rsid w:val="00EE0B53"/>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E0B5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E0B5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E0B5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E0B53"/>
    <w:pPr>
      <w:spacing w:before="160"/>
      <w:jc w:val="center"/>
    </w:pPr>
    <w:rPr>
      <w:i/>
      <w:iCs/>
      <w:color w:val="404040" w:themeColor="text1" w:themeTint="BF"/>
    </w:rPr>
  </w:style>
  <w:style w:type="character" w:customStyle="1" w:styleId="CitationCar">
    <w:name w:val="Citation Car"/>
    <w:basedOn w:val="Policepardfaut"/>
    <w:link w:val="Citation"/>
    <w:uiPriority w:val="29"/>
    <w:rsid w:val="00EE0B53"/>
    <w:rPr>
      <w:i/>
      <w:iCs/>
      <w:color w:val="404040" w:themeColor="text1" w:themeTint="BF"/>
    </w:rPr>
  </w:style>
  <w:style w:type="paragraph" w:styleId="Paragraphedeliste">
    <w:name w:val="List Paragraph"/>
    <w:basedOn w:val="Normal"/>
    <w:uiPriority w:val="34"/>
    <w:qFormat/>
    <w:rsid w:val="00EE0B53"/>
    <w:pPr>
      <w:ind w:left="720"/>
      <w:contextualSpacing/>
    </w:pPr>
  </w:style>
  <w:style w:type="character" w:styleId="Accentuationintense">
    <w:name w:val="Intense Emphasis"/>
    <w:basedOn w:val="Policepardfaut"/>
    <w:uiPriority w:val="21"/>
    <w:qFormat/>
    <w:rsid w:val="00EE0B53"/>
    <w:rPr>
      <w:i/>
      <w:iCs/>
      <w:color w:val="2F5496" w:themeColor="accent1" w:themeShade="BF"/>
    </w:rPr>
  </w:style>
  <w:style w:type="paragraph" w:styleId="Citationintense">
    <w:name w:val="Intense Quote"/>
    <w:basedOn w:val="Normal"/>
    <w:next w:val="Normal"/>
    <w:link w:val="CitationintenseCar"/>
    <w:uiPriority w:val="30"/>
    <w:qFormat/>
    <w:rsid w:val="00EE0B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E0B53"/>
    <w:rPr>
      <w:i/>
      <w:iCs/>
      <w:color w:val="2F5496" w:themeColor="accent1" w:themeShade="BF"/>
    </w:rPr>
  </w:style>
  <w:style w:type="character" w:styleId="Rfrenceintense">
    <w:name w:val="Intense Reference"/>
    <w:basedOn w:val="Policepardfaut"/>
    <w:uiPriority w:val="32"/>
    <w:qFormat/>
    <w:rsid w:val="00EE0B53"/>
    <w:rPr>
      <w:b/>
      <w:bCs/>
      <w:smallCaps/>
      <w:color w:val="2F5496" w:themeColor="accent1" w:themeShade="BF"/>
      <w:spacing w:val="5"/>
    </w:rPr>
  </w:style>
  <w:style w:type="character" w:styleId="Lienhypertexte">
    <w:name w:val="Hyperlink"/>
    <w:uiPriority w:val="99"/>
    <w:rsid w:val="00EE0B53"/>
    <w:rPr>
      <w:color w:val="0000FF"/>
      <w:u w:val="single"/>
    </w:rPr>
  </w:style>
  <w:style w:type="paragraph" w:customStyle="1" w:styleId="Sections">
    <w:name w:val="Sections"/>
    <w:basedOn w:val="Sous-titre"/>
    <w:qFormat/>
    <w:rsid w:val="00EE0B53"/>
    <w:pPr>
      <w:numPr>
        <w:ilvl w:val="0"/>
      </w:numPr>
      <w:jc w:val="center"/>
    </w:pPr>
    <w:rPr>
      <w:rFonts w:eastAsia="Times New Roman" w:cs="Times New Roman"/>
      <w:b/>
      <w:color w:val="auto"/>
      <w:spacing w:val="0"/>
      <w:sz w:val="36"/>
      <w:szCs w:val="20"/>
    </w:rPr>
  </w:style>
  <w:style w:type="paragraph" w:styleId="Notedebasdepage">
    <w:name w:val="footnote text"/>
    <w:basedOn w:val="Normal"/>
    <w:link w:val="NotedebasdepageCar"/>
    <w:rsid w:val="00EE0B53"/>
    <w:pPr>
      <w:jc w:val="both"/>
    </w:pPr>
    <w:rPr>
      <w:sz w:val="20"/>
      <w:lang w:val="es-ES_tradnl" w:eastAsia="x-none"/>
    </w:rPr>
  </w:style>
  <w:style w:type="character" w:customStyle="1" w:styleId="NotedebasdepageCar">
    <w:name w:val="Note de bas de page Car"/>
    <w:basedOn w:val="Policepardfaut"/>
    <w:link w:val="Notedebasdepage"/>
    <w:rsid w:val="00EE0B53"/>
    <w:rPr>
      <w:rFonts w:ascii="Times New Roman" w:eastAsia="Times New Roman" w:hAnsi="Times New Roman" w:cs="Times New Roman"/>
      <w:kern w:val="0"/>
      <w:sz w:val="20"/>
      <w:szCs w:val="20"/>
      <w:lang w:val="es-ES_tradnl" w:eastAsia="x-none"/>
      <w14:ligatures w14:val="none"/>
    </w:rPr>
  </w:style>
  <w:style w:type="character" w:styleId="Appelnotedebasdep">
    <w:name w:val="footnote reference"/>
    <w:semiHidden/>
    <w:rsid w:val="00EE0B53"/>
    <w:rPr>
      <w:vertAlign w:val="superscript"/>
    </w:rPr>
  </w:style>
  <w:style w:type="character" w:styleId="Mentionnonrsolue">
    <w:name w:val="Unresolved Mention"/>
    <w:basedOn w:val="Policepardfaut"/>
    <w:uiPriority w:val="99"/>
    <w:semiHidden/>
    <w:unhideWhenUsed/>
    <w:rsid w:val="00AB3F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ulcam418@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mohamedaicha200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ernardf03@yahoo.fr" TargetMode="External"/><Relationship Id="rId5" Type="http://schemas.openxmlformats.org/officeDocument/2006/relationships/footnotes" Target="footnotes.xml"/><Relationship Id="rId10" Type="http://schemas.openxmlformats.org/officeDocument/2006/relationships/hyperlink" Target="mailto:soulcam418@gmail.com" TargetMode="External"/><Relationship Id="rId4" Type="http://schemas.openxmlformats.org/officeDocument/2006/relationships/webSettings" Target="webSettings.xml"/><Relationship Id="rId9" Type="http://schemas.openxmlformats.org/officeDocument/2006/relationships/hyperlink" Target="mailto:mohamedaicha2002@gmail.co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689</Words>
  <Characters>3933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COMPUTER</dc:creator>
  <cp:keywords/>
  <dc:description/>
  <cp:lastModifiedBy>HP COMPUTER</cp:lastModifiedBy>
  <cp:revision>3</cp:revision>
  <cp:lastPrinted>2026-02-06T12:55:00Z</cp:lastPrinted>
  <dcterms:created xsi:type="dcterms:W3CDTF">2026-02-20T12:19:00Z</dcterms:created>
  <dcterms:modified xsi:type="dcterms:W3CDTF">2026-02-20T12:23:00Z</dcterms:modified>
</cp:coreProperties>
</file>